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217"/>
        <w:gridCol w:w="1805"/>
        <w:gridCol w:w="473"/>
        <w:gridCol w:w="486"/>
        <w:gridCol w:w="657"/>
        <w:gridCol w:w="6162"/>
        <w:gridCol w:w="540"/>
        <w:gridCol w:w="540"/>
        <w:gridCol w:w="900"/>
      </w:tblGrid>
      <w:tr w:rsidR="00974F0B" w14:paraId="477EB06A" w14:textId="77777777" w:rsidTr="002F0DB8">
        <w:trPr>
          <w:cantSplit/>
          <w:trHeight w:val="310"/>
        </w:trPr>
        <w:tc>
          <w:tcPr>
            <w:tcW w:w="1440" w:type="dxa"/>
            <w:vMerge w:val="restart"/>
            <w:vAlign w:val="center"/>
          </w:tcPr>
          <w:p w14:paraId="7C21104E" w14:textId="77777777" w:rsidR="00974F0B" w:rsidRPr="00C57C23" w:rsidRDefault="009931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C57C2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ACTIVITY</w:t>
            </w:r>
          </w:p>
        </w:tc>
        <w:tc>
          <w:tcPr>
            <w:tcW w:w="1217" w:type="dxa"/>
            <w:vMerge w:val="restart"/>
            <w:vAlign w:val="center"/>
          </w:tcPr>
          <w:p w14:paraId="1B7B6D49" w14:textId="77777777" w:rsidR="00974F0B" w:rsidRPr="00C57C23" w:rsidRDefault="009931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C57C2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PERSON AT RISK</w:t>
            </w:r>
          </w:p>
        </w:tc>
        <w:tc>
          <w:tcPr>
            <w:tcW w:w="1805" w:type="dxa"/>
            <w:vMerge w:val="restart"/>
            <w:vAlign w:val="center"/>
          </w:tcPr>
          <w:p w14:paraId="691C4130" w14:textId="77777777" w:rsidR="00974F0B" w:rsidRPr="00C57C23" w:rsidRDefault="009931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C57C2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SIGNIFICANT HAZARDS</w:t>
            </w:r>
          </w:p>
        </w:tc>
        <w:tc>
          <w:tcPr>
            <w:tcW w:w="1616" w:type="dxa"/>
            <w:gridSpan w:val="3"/>
            <w:vAlign w:val="center"/>
          </w:tcPr>
          <w:p w14:paraId="7BFDCD10" w14:textId="77777777" w:rsidR="00974F0B" w:rsidRPr="00C57C23" w:rsidRDefault="009931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C57C2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RISK*</w:t>
            </w:r>
          </w:p>
        </w:tc>
        <w:tc>
          <w:tcPr>
            <w:tcW w:w="6162" w:type="dxa"/>
            <w:vMerge w:val="restart"/>
            <w:vAlign w:val="center"/>
          </w:tcPr>
          <w:p w14:paraId="52B0DDF7" w14:textId="77777777" w:rsidR="00974F0B" w:rsidRPr="00C57C23" w:rsidRDefault="009931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C57C2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RISK CONTROL MEASURES</w:t>
            </w:r>
          </w:p>
        </w:tc>
        <w:tc>
          <w:tcPr>
            <w:tcW w:w="1980" w:type="dxa"/>
            <w:gridSpan w:val="3"/>
            <w:vAlign w:val="center"/>
          </w:tcPr>
          <w:p w14:paraId="66403002" w14:textId="77777777" w:rsidR="00974F0B" w:rsidRPr="00C57C23" w:rsidRDefault="009931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C57C2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RESIDUAL RISK**</w:t>
            </w:r>
          </w:p>
        </w:tc>
      </w:tr>
      <w:tr w:rsidR="00974F0B" w14:paraId="6DF7FFA2" w14:textId="77777777" w:rsidTr="002F0DB8">
        <w:trPr>
          <w:cantSplit/>
          <w:trHeight w:val="310"/>
        </w:trPr>
        <w:tc>
          <w:tcPr>
            <w:tcW w:w="1440" w:type="dxa"/>
            <w:vMerge/>
          </w:tcPr>
          <w:p w14:paraId="6242BDBA" w14:textId="77777777" w:rsidR="00974F0B" w:rsidRPr="00C57C23" w:rsidRDefault="00974F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vMerge/>
          </w:tcPr>
          <w:p w14:paraId="35758600" w14:textId="77777777" w:rsidR="00974F0B" w:rsidRPr="00C57C23" w:rsidRDefault="00974F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vMerge/>
          </w:tcPr>
          <w:p w14:paraId="78A28A62" w14:textId="77777777" w:rsidR="00974F0B" w:rsidRPr="00C57C23" w:rsidRDefault="00974F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0EA3D062" w14:textId="77777777" w:rsidR="00974F0B" w:rsidRPr="00C57C23" w:rsidRDefault="009931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C57C2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L</w:t>
            </w:r>
          </w:p>
        </w:tc>
        <w:tc>
          <w:tcPr>
            <w:tcW w:w="486" w:type="dxa"/>
          </w:tcPr>
          <w:p w14:paraId="3D7DFFF7" w14:textId="77777777" w:rsidR="00974F0B" w:rsidRPr="00C57C23" w:rsidRDefault="009931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nl-NL"/>
              </w:rPr>
            </w:pPr>
            <w:r w:rsidRPr="00C57C2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nl-NL"/>
              </w:rPr>
              <w:t>S</w:t>
            </w:r>
          </w:p>
        </w:tc>
        <w:tc>
          <w:tcPr>
            <w:tcW w:w="657" w:type="dxa"/>
          </w:tcPr>
          <w:p w14:paraId="25D181B2" w14:textId="77777777" w:rsidR="00974F0B" w:rsidRPr="00C57C23" w:rsidRDefault="009931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nl-NL"/>
              </w:rPr>
            </w:pPr>
            <w:r w:rsidRPr="00C57C2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nl-NL"/>
              </w:rPr>
              <w:t>R</w:t>
            </w:r>
            <w:r w:rsidR="00D015D9" w:rsidRPr="00C57C2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nl-NL"/>
              </w:rPr>
              <w:t>isk</w:t>
            </w:r>
          </w:p>
        </w:tc>
        <w:tc>
          <w:tcPr>
            <w:tcW w:w="6162" w:type="dxa"/>
            <w:vMerge/>
          </w:tcPr>
          <w:p w14:paraId="716950C5" w14:textId="77777777" w:rsidR="00974F0B" w:rsidRPr="00C57C23" w:rsidRDefault="00974F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540" w:type="dxa"/>
          </w:tcPr>
          <w:p w14:paraId="704C7DDD" w14:textId="77777777" w:rsidR="00974F0B" w:rsidRPr="00C57C23" w:rsidRDefault="009931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nl-NL"/>
              </w:rPr>
            </w:pPr>
            <w:r w:rsidRPr="00C57C2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nl-NL"/>
              </w:rPr>
              <w:t>L</w:t>
            </w:r>
          </w:p>
        </w:tc>
        <w:tc>
          <w:tcPr>
            <w:tcW w:w="540" w:type="dxa"/>
          </w:tcPr>
          <w:p w14:paraId="4185817E" w14:textId="77777777" w:rsidR="00974F0B" w:rsidRPr="00C57C23" w:rsidRDefault="009931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C57C2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900" w:type="dxa"/>
          </w:tcPr>
          <w:p w14:paraId="39C5A281" w14:textId="77777777" w:rsidR="00974F0B" w:rsidRPr="00C57C23" w:rsidRDefault="009931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C57C2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R</w:t>
            </w:r>
            <w:r w:rsidR="00D015D9" w:rsidRPr="00C57C2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isk</w:t>
            </w:r>
          </w:p>
        </w:tc>
      </w:tr>
      <w:tr w:rsidR="00974F0B" w14:paraId="52723CB7" w14:textId="77777777" w:rsidTr="00342A57">
        <w:trPr>
          <w:cantSplit/>
          <w:trHeight w:val="1994"/>
        </w:trPr>
        <w:tc>
          <w:tcPr>
            <w:tcW w:w="1440" w:type="dxa"/>
            <w:vAlign w:val="center"/>
          </w:tcPr>
          <w:p w14:paraId="5E16E2B6" w14:textId="00B0DE1B" w:rsidR="00974F0B" w:rsidRPr="00C57C23" w:rsidRDefault="008E65F8">
            <w:pPr>
              <w:rPr>
                <w:rFonts w:ascii="Arial Narrow" w:hAnsi="Arial Narrow" w:cs="Arial Narrow"/>
              </w:rPr>
            </w:pPr>
            <w:r w:rsidRPr="00C57C23">
              <w:rPr>
                <w:rFonts w:ascii="Arial Narrow" w:hAnsi="Arial Narrow" w:cs="Arial Narrow"/>
              </w:rPr>
              <w:t>Frequent Hand Washing with Soap and Water (Warm and Cold)</w:t>
            </w:r>
          </w:p>
        </w:tc>
        <w:tc>
          <w:tcPr>
            <w:tcW w:w="1217" w:type="dxa"/>
            <w:vAlign w:val="center"/>
          </w:tcPr>
          <w:p w14:paraId="2F043982" w14:textId="71C8F880" w:rsidR="00974F0B" w:rsidRPr="00C57C23" w:rsidRDefault="008E65F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 Narrow"/>
              </w:rPr>
            </w:pPr>
            <w:r w:rsidRPr="00C57C23">
              <w:rPr>
                <w:rFonts w:ascii="Arial Narrow" w:hAnsi="Arial Narrow" w:cs="Arial Narrow"/>
              </w:rPr>
              <w:t>Employees</w:t>
            </w:r>
            <w:r w:rsidR="002152BF" w:rsidRPr="00C57C23">
              <w:rPr>
                <w:rFonts w:ascii="Arial Narrow" w:hAnsi="Arial Narrow" w:cs="Arial Narrow"/>
              </w:rPr>
              <w:t xml:space="preserve"> and Visitors</w:t>
            </w:r>
          </w:p>
        </w:tc>
        <w:tc>
          <w:tcPr>
            <w:tcW w:w="1805" w:type="dxa"/>
            <w:vAlign w:val="center"/>
          </w:tcPr>
          <w:p w14:paraId="501EFE73" w14:textId="77FC046C" w:rsidR="00974F0B" w:rsidRPr="00C57C23" w:rsidRDefault="00A15AD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 Narrow"/>
              </w:rPr>
            </w:pPr>
            <w:r w:rsidRPr="00C57C23">
              <w:rPr>
                <w:rFonts w:ascii="Arial Narrow" w:hAnsi="Arial Narrow" w:cs="Arial Narrow"/>
              </w:rPr>
              <w:t>Frequent exposure to soaps and cleaners</w:t>
            </w:r>
            <w:r w:rsidR="0054592E" w:rsidRPr="00C57C23">
              <w:rPr>
                <w:rFonts w:ascii="Arial Narrow" w:hAnsi="Arial Narrow" w:cs="Arial Narrow"/>
              </w:rPr>
              <w:t xml:space="preserve"> account for over a quarter of all cases of work-related contact dermatitis.</w:t>
            </w:r>
          </w:p>
        </w:tc>
        <w:tc>
          <w:tcPr>
            <w:tcW w:w="473" w:type="dxa"/>
            <w:vAlign w:val="center"/>
          </w:tcPr>
          <w:p w14:paraId="501473E4" w14:textId="77777777" w:rsidR="00974F0B" w:rsidRPr="00C57C23" w:rsidRDefault="00993176">
            <w:pPr>
              <w:jc w:val="center"/>
              <w:rPr>
                <w:rFonts w:ascii="Arial Narrow" w:hAnsi="Arial Narrow" w:cs="Arial Narrow"/>
              </w:rPr>
            </w:pPr>
            <w:r w:rsidRPr="00C57C23">
              <w:rPr>
                <w:rFonts w:ascii="Arial Narrow" w:hAnsi="Arial Narrow" w:cs="Arial Narrow"/>
              </w:rPr>
              <w:t>4</w:t>
            </w:r>
          </w:p>
        </w:tc>
        <w:tc>
          <w:tcPr>
            <w:tcW w:w="486" w:type="dxa"/>
            <w:vAlign w:val="center"/>
          </w:tcPr>
          <w:p w14:paraId="3BAEE42B" w14:textId="77777777" w:rsidR="00974F0B" w:rsidRPr="00C57C23" w:rsidRDefault="00993176">
            <w:pPr>
              <w:jc w:val="center"/>
              <w:rPr>
                <w:rFonts w:ascii="Arial Narrow" w:hAnsi="Arial Narrow" w:cs="Arial Narrow"/>
              </w:rPr>
            </w:pPr>
            <w:r w:rsidRPr="00C57C23">
              <w:rPr>
                <w:rFonts w:ascii="Arial Narrow" w:hAnsi="Arial Narrow" w:cs="Arial Narrow"/>
              </w:rPr>
              <w:t>3</w:t>
            </w:r>
          </w:p>
        </w:tc>
        <w:tc>
          <w:tcPr>
            <w:tcW w:w="657" w:type="dxa"/>
            <w:shd w:val="clear" w:color="auto" w:fill="FF0000"/>
            <w:vAlign w:val="center"/>
          </w:tcPr>
          <w:p w14:paraId="3F742681" w14:textId="77777777" w:rsidR="00974F0B" w:rsidRPr="00C57C23" w:rsidRDefault="00993176">
            <w:pPr>
              <w:jc w:val="center"/>
              <w:rPr>
                <w:rFonts w:ascii="Arial Narrow" w:hAnsi="Arial Narrow" w:cs="Arial Narrow"/>
              </w:rPr>
            </w:pPr>
            <w:r w:rsidRPr="00C57C23">
              <w:rPr>
                <w:rFonts w:ascii="Arial Narrow" w:hAnsi="Arial Narrow" w:cs="Arial Narrow"/>
              </w:rPr>
              <w:t>12</w:t>
            </w:r>
          </w:p>
        </w:tc>
        <w:tc>
          <w:tcPr>
            <w:tcW w:w="6162" w:type="dxa"/>
          </w:tcPr>
          <w:p w14:paraId="65F5F761" w14:textId="77777777" w:rsidR="00974F0B" w:rsidRPr="00C57C23" w:rsidRDefault="00974F0B">
            <w:pPr>
              <w:pStyle w:val="Default"/>
              <w:tabs>
                <w:tab w:val="num" w:pos="654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75D9D5AB" w14:textId="77777777" w:rsidR="009933A1" w:rsidRPr="009933A1" w:rsidRDefault="009933A1" w:rsidP="009933A1">
            <w:pPr>
              <w:pStyle w:val="Default"/>
              <w:numPr>
                <w:ilvl w:val="0"/>
                <w:numId w:val="14"/>
              </w:numPr>
              <w:tabs>
                <w:tab w:val="num" w:pos="654"/>
              </w:tabs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9933A1">
              <w:rPr>
                <w:rFonts w:ascii="Arial Narrow" w:hAnsi="Arial Narrow" w:cs="Arial Narrow"/>
                <w:sz w:val="20"/>
                <w:szCs w:val="20"/>
                <w:lang w:val="en-GB"/>
              </w:rPr>
              <w:t>During hand washing, thoroughly rinse off residual soap/hand cleanser.</w:t>
            </w:r>
          </w:p>
          <w:p w14:paraId="40E6E5C0" w14:textId="77777777" w:rsidR="009933A1" w:rsidRPr="009933A1" w:rsidRDefault="009933A1" w:rsidP="009933A1">
            <w:pPr>
              <w:pStyle w:val="Default"/>
              <w:numPr>
                <w:ilvl w:val="0"/>
                <w:numId w:val="14"/>
              </w:numPr>
              <w:tabs>
                <w:tab w:val="num" w:pos="654"/>
              </w:tabs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9933A1">
              <w:rPr>
                <w:rFonts w:ascii="Arial Narrow" w:hAnsi="Arial Narrow" w:cs="Arial Narrow"/>
                <w:sz w:val="20"/>
                <w:szCs w:val="20"/>
                <w:lang w:val="en-GB"/>
              </w:rPr>
              <w:t>Ensure your hands are thoroughly dry before continuing work.</w:t>
            </w:r>
          </w:p>
          <w:p w14:paraId="7508CE7D" w14:textId="77777777" w:rsidR="009933A1" w:rsidRPr="009933A1" w:rsidRDefault="009933A1" w:rsidP="009933A1">
            <w:pPr>
              <w:pStyle w:val="Default"/>
              <w:numPr>
                <w:ilvl w:val="0"/>
                <w:numId w:val="14"/>
              </w:numPr>
              <w:tabs>
                <w:tab w:val="num" w:pos="654"/>
              </w:tabs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9933A1">
              <w:rPr>
                <w:rFonts w:ascii="Arial Narrow" w:hAnsi="Arial Narrow" w:cs="Arial Narrow"/>
                <w:sz w:val="20"/>
                <w:szCs w:val="20"/>
                <w:lang w:val="en-GB"/>
              </w:rPr>
              <w:t>Use emollient creams regularly, especially after finishing work. Ensure all parts of the hand are covered.</w:t>
            </w:r>
          </w:p>
          <w:p w14:paraId="6DE68625" w14:textId="41F589AB" w:rsidR="009933A1" w:rsidRPr="00C57C23" w:rsidRDefault="009933A1" w:rsidP="009933A1">
            <w:pPr>
              <w:pStyle w:val="Default"/>
              <w:numPr>
                <w:ilvl w:val="0"/>
                <w:numId w:val="14"/>
              </w:numPr>
              <w:tabs>
                <w:tab w:val="num" w:pos="654"/>
              </w:tabs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9933A1">
              <w:rPr>
                <w:rFonts w:ascii="Arial Narrow" w:hAnsi="Arial Narrow" w:cs="Arial Narrow"/>
                <w:sz w:val="20"/>
                <w:szCs w:val="20"/>
                <w:lang w:val="en-GB"/>
              </w:rPr>
              <w:t>Check your skin for early signs and report concerns to your ‘responsible person’. Early detection can help prevent more serious dermatitis from developing</w:t>
            </w:r>
          </w:p>
          <w:p w14:paraId="388B0907" w14:textId="77777777" w:rsidR="003A3546" w:rsidRPr="00C57C23" w:rsidRDefault="003A3546" w:rsidP="003A3546">
            <w:pPr>
              <w:pStyle w:val="Default"/>
              <w:numPr>
                <w:ilvl w:val="0"/>
                <w:numId w:val="14"/>
              </w:numPr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C57C23">
              <w:rPr>
                <w:rFonts w:ascii="Arial Narrow" w:hAnsi="Arial Narrow" w:cs="Arial Narrow"/>
                <w:sz w:val="20"/>
                <w:szCs w:val="20"/>
                <w:lang w:val="en-GB"/>
              </w:rPr>
              <w:t>Provide hand hygiene products (eg gentle soaps) that are both effective and minimise the risk of skin disease.</w:t>
            </w:r>
          </w:p>
          <w:p w14:paraId="48E613EE" w14:textId="674A1133" w:rsidR="003A3546" w:rsidRPr="00C57C23" w:rsidRDefault="003A3546" w:rsidP="003A3546">
            <w:pPr>
              <w:pStyle w:val="Default"/>
              <w:numPr>
                <w:ilvl w:val="0"/>
                <w:numId w:val="14"/>
              </w:numPr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C57C23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Train employees in use of equipment and gloves, correct hand cleaning and skin care measures (eg regular use of moisturisers). </w:t>
            </w:r>
          </w:p>
          <w:p w14:paraId="3D9768C1" w14:textId="77777777" w:rsidR="003A3546" w:rsidRPr="00C57C23" w:rsidRDefault="003A3546" w:rsidP="003A3546">
            <w:pPr>
              <w:pStyle w:val="Default"/>
              <w:numPr>
                <w:ilvl w:val="0"/>
                <w:numId w:val="14"/>
              </w:numPr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C57C23">
              <w:rPr>
                <w:rFonts w:ascii="Arial Narrow" w:hAnsi="Arial Narrow" w:cs="Arial Narrow"/>
                <w:sz w:val="20"/>
                <w:szCs w:val="20"/>
                <w:lang w:val="en-GB"/>
              </w:rPr>
              <w:t>Provide good hand-drying facilities (eg good-quality, soft paper towels).</w:t>
            </w:r>
          </w:p>
          <w:p w14:paraId="749A7F0A" w14:textId="77777777" w:rsidR="003A3546" w:rsidRPr="00C57C23" w:rsidRDefault="003A3546" w:rsidP="003A3546">
            <w:pPr>
              <w:pStyle w:val="Default"/>
              <w:numPr>
                <w:ilvl w:val="0"/>
                <w:numId w:val="14"/>
              </w:numPr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C57C23">
              <w:rPr>
                <w:rFonts w:ascii="Arial Narrow" w:hAnsi="Arial Narrow" w:cs="Arial Narrow"/>
                <w:sz w:val="20"/>
                <w:szCs w:val="20"/>
                <w:lang w:val="en-GB"/>
              </w:rPr>
              <w:t>Provide emollients in suitable dispensers to prevent cross-contamination.</w:t>
            </w:r>
          </w:p>
          <w:p w14:paraId="49A96929" w14:textId="00AB6BBD" w:rsidR="00974F0B" w:rsidRPr="00D87467" w:rsidRDefault="003A3546" w:rsidP="00D87467">
            <w:pPr>
              <w:pStyle w:val="Default"/>
              <w:numPr>
                <w:ilvl w:val="0"/>
                <w:numId w:val="14"/>
              </w:numPr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C57C23">
              <w:rPr>
                <w:rFonts w:ascii="Arial Narrow" w:hAnsi="Arial Narrow" w:cs="Arial Narrow"/>
                <w:sz w:val="20"/>
                <w:szCs w:val="20"/>
                <w:lang w:val="en-GB"/>
              </w:rPr>
              <w:t>Use a system of skin-checking or other appropriate health surveillance to ensure</w:t>
            </w:r>
            <w:r w:rsidR="00416889" w:rsidRPr="00C57C23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the earl</w:t>
            </w:r>
            <w:r w:rsidR="0074419D" w:rsidRPr="00C57C23">
              <w:rPr>
                <w:rFonts w:ascii="Arial Narrow" w:hAnsi="Arial Narrow" w:cs="Arial Narrow"/>
                <w:sz w:val="20"/>
                <w:szCs w:val="20"/>
                <w:lang w:val="en-GB"/>
              </w:rPr>
              <w:t>y</w:t>
            </w:r>
            <w:r w:rsidR="00416889" w:rsidRPr="00C57C23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signs of der</w:t>
            </w:r>
            <w:r w:rsidR="0074419D" w:rsidRPr="00C57C23">
              <w:rPr>
                <w:rFonts w:ascii="Arial Narrow" w:hAnsi="Arial Narrow" w:cs="Arial Narrow"/>
                <w:sz w:val="20"/>
                <w:szCs w:val="20"/>
                <w:lang w:val="en-GB"/>
              </w:rPr>
              <w:t>matitis are detected</w:t>
            </w:r>
            <w:r w:rsidRPr="00C57C23">
              <w:rPr>
                <w:rFonts w:ascii="Arial Narrow" w:hAnsi="Arial Narrow" w:cs="Arial Narrow"/>
                <w:sz w:val="20"/>
                <w:szCs w:val="20"/>
                <w:lang w:val="en-GB"/>
              </w:rPr>
              <w:t>.</w:t>
            </w:r>
          </w:p>
        </w:tc>
        <w:tc>
          <w:tcPr>
            <w:tcW w:w="540" w:type="dxa"/>
            <w:vAlign w:val="center"/>
          </w:tcPr>
          <w:p w14:paraId="033414C0" w14:textId="77777777" w:rsidR="00974F0B" w:rsidRPr="00C57C23" w:rsidRDefault="00D015D9">
            <w:pPr>
              <w:jc w:val="center"/>
              <w:rPr>
                <w:rFonts w:ascii="Arial Narrow" w:hAnsi="Arial Narrow" w:cs="Arial Narrow"/>
              </w:rPr>
            </w:pPr>
            <w:r w:rsidRPr="00C57C23">
              <w:rPr>
                <w:rFonts w:ascii="Arial Narrow" w:hAnsi="Arial Narrow" w:cs="Arial Narrow"/>
              </w:rPr>
              <w:t>1</w:t>
            </w:r>
          </w:p>
        </w:tc>
        <w:tc>
          <w:tcPr>
            <w:tcW w:w="540" w:type="dxa"/>
            <w:vAlign w:val="center"/>
          </w:tcPr>
          <w:p w14:paraId="000CCED7" w14:textId="77777777" w:rsidR="00974F0B" w:rsidRPr="00C57C23" w:rsidRDefault="00D015D9">
            <w:pPr>
              <w:jc w:val="center"/>
              <w:rPr>
                <w:rFonts w:ascii="Arial Narrow" w:hAnsi="Arial Narrow" w:cs="Arial Narrow"/>
              </w:rPr>
            </w:pPr>
            <w:r w:rsidRPr="00C57C23">
              <w:rPr>
                <w:rFonts w:ascii="Arial Narrow" w:hAnsi="Arial Narrow" w:cs="Arial Narrow"/>
              </w:rPr>
              <w:t>3</w:t>
            </w:r>
          </w:p>
        </w:tc>
        <w:tc>
          <w:tcPr>
            <w:tcW w:w="900" w:type="dxa"/>
            <w:shd w:val="clear" w:color="auto" w:fill="00B050"/>
            <w:vAlign w:val="center"/>
          </w:tcPr>
          <w:p w14:paraId="0667AD5B" w14:textId="77777777" w:rsidR="00974F0B" w:rsidRPr="00C57C23" w:rsidRDefault="00993176">
            <w:pPr>
              <w:jc w:val="center"/>
              <w:rPr>
                <w:rFonts w:ascii="Arial Narrow" w:hAnsi="Arial Narrow" w:cs="Arial Narrow"/>
              </w:rPr>
            </w:pPr>
            <w:r w:rsidRPr="00C57C23">
              <w:rPr>
                <w:rFonts w:ascii="Arial Narrow" w:hAnsi="Arial Narrow" w:cs="Arial Narrow"/>
              </w:rPr>
              <w:t>3</w:t>
            </w:r>
          </w:p>
        </w:tc>
      </w:tr>
      <w:tr w:rsidR="00974F0B" w14:paraId="4E0E9BB7" w14:textId="77777777" w:rsidTr="001261FD">
        <w:trPr>
          <w:cantSplit/>
          <w:trHeight w:val="2331"/>
        </w:trPr>
        <w:tc>
          <w:tcPr>
            <w:tcW w:w="1440" w:type="dxa"/>
            <w:vAlign w:val="center"/>
          </w:tcPr>
          <w:p w14:paraId="03901E59" w14:textId="4828345B" w:rsidR="00974F0B" w:rsidRPr="00C57C23" w:rsidRDefault="007F4E85">
            <w:pPr>
              <w:rPr>
                <w:rFonts w:ascii="Arial Narrow" w:hAnsi="Arial Narrow" w:cs="Arial Narrow"/>
              </w:rPr>
            </w:pPr>
            <w:r w:rsidRPr="00C57C23">
              <w:rPr>
                <w:rFonts w:ascii="Arial Narrow" w:hAnsi="Arial Narrow" w:cs="Arial Narrow"/>
              </w:rPr>
              <w:t xml:space="preserve">Frequent use of </w:t>
            </w:r>
            <w:r w:rsidR="00F824E0" w:rsidRPr="00C57C23">
              <w:rPr>
                <w:rFonts w:ascii="Arial Narrow" w:hAnsi="Arial Narrow" w:cs="Arial Narrow"/>
              </w:rPr>
              <w:t>alcohol and non</w:t>
            </w:r>
            <w:r w:rsidR="00F04D50">
              <w:rPr>
                <w:rFonts w:ascii="Arial Narrow" w:hAnsi="Arial Narrow" w:cs="Arial Narrow"/>
              </w:rPr>
              <w:t>-</w:t>
            </w:r>
            <w:r w:rsidR="00F824E0" w:rsidRPr="00C57C23">
              <w:rPr>
                <w:rFonts w:ascii="Arial Narrow" w:hAnsi="Arial Narrow" w:cs="Arial Narrow"/>
              </w:rPr>
              <w:t>alcohol based hand sanitizers</w:t>
            </w:r>
          </w:p>
        </w:tc>
        <w:tc>
          <w:tcPr>
            <w:tcW w:w="1217" w:type="dxa"/>
            <w:vAlign w:val="center"/>
          </w:tcPr>
          <w:p w14:paraId="4AE900AB" w14:textId="6B1838FB" w:rsidR="00974F0B" w:rsidRPr="00C57C23" w:rsidRDefault="00F824E0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 Narrow"/>
              </w:rPr>
            </w:pPr>
            <w:r w:rsidRPr="00C57C23">
              <w:rPr>
                <w:rFonts w:ascii="Arial Narrow" w:hAnsi="Arial Narrow" w:cs="Arial Narrow"/>
              </w:rPr>
              <w:t>Employees and Visitors</w:t>
            </w:r>
          </w:p>
        </w:tc>
        <w:tc>
          <w:tcPr>
            <w:tcW w:w="1805" w:type="dxa"/>
            <w:vAlign w:val="center"/>
          </w:tcPr>
          <w:p w14:paraId="1D95AE47" w14:textId="77777777" w:rsidR="00974F0B" w:rsidRDefault="006E49A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 Narrow"/>
              </w:rPr>
            </w:pPr>
            <w:r w:rsidRPr="00C57C23">
              <w:rPr>
                <w:rFonts w:ascii="Arial Narrow" w:hAnsi="Arial Narrow" w:cs="Arial Narrow"/>
              </w:rPr>
              <w:t>Frequent exposure to soaps and cleaners account for over a quarter of all cases of work-related contact dermatitis.</w:t>
            </w:r>
          </w:p>
          <w:p w14:paraId="3724EB8A" w14:textId="77777777" w:rsidR="006201E9" w:rsidRDefault="006201E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 Narrow"/>
              </w:rPr>
            </w:pPr>
          </w:p>
          <w:p w14:paraId="67CB6CC5" w14:textId="3C125751" w:rsidR="007D5390" w:rsidRPr="00C57C23" w:rsidRDefault="007D5390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 Narrow"/>
              </w:rPr>
            </w:pPr>
          </w:p>
        </w:tc>
        <w:tc>
          <w:tcPr>
            <w:tcW w:w="473" w:type="dxa"/>
            <w:vAlign w:val="center"/>
          </w:tcPr>
          <w:p w14:paraId="0218BACE" w14:textId="68B82B1B" w:rsidR="00974F0B" w:rsidRPr="00C57C23" w:rsidRDefault="001261FD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486" w:type="dxa"/>
            <w:vAlign w:val="center"/>
          </w:tcPr>
          <w:p w14:paraId="09C32045" w14:textId="0583314D" w:rsidR="00974F0B" w:rsidRPr="00C57C23" w:rsidRDefault="00061EB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657" w:type="dxa"/>
            <w:shd w:val="clear" w:color="auto" w:fill="FF0000"/>
            <w:vAlign w:val="center"/>
          </w:tcPr>
          <w:p w14:paraId="1DB9A9B9" w14:textId="05C25AB3" w:rsidR="00974F0B" w:rsidRPr="00C57C23" w:rsidRDefault="001261FD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12</w:t>
            </w:r>
          </w:p>
        </w:tc>
        <w:tc>
          <w:tcPr>
            <w:tcW w:w="6162" w:type="dxa"/>
            <w:vAlign w:val="center"/>
          </w:tcPr>
          <w:p w14:paraId="76B0E095" w14:textId="77777777" w:rsidR="00974F0B" w:rsidRPr="00C57C23" w:rsidRDefault="00974F0B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 Narrow"/>
              </w:rPr>
            </w:pPr>
          </w:p>
          <w:p w14:paraId="44A25B1E" w14:textId="77777777" w:rsidR="00B3032F" w:rsidRPr="00C57C23" w:rsidRDefault="00B3032F" w:rsidP="00B3032F">
            <w:pPr>
              <w:pStyle w:val="Header"/>
              <w:numPr>
                <w:ilvl w:val="0"/>
                <w:numId w:val="15"/>
              </w:numPr>
              <w:rPr>
                <w:rFonts w:ascii="Arial Narrow" w:hAnsi="Arial Narrow" w:cs="Arial Narrow"/>
              </w:rPr>
            </w:pPr>
            <w:r w:rsidRPr="00C57C23">
              <w:rPr>
                <w:rFonts w:ascii="Arial Narrow" w:hAnsi="Arial Narrow" w:cs="Arial Narrow"/>
              </w:rPr>
              <w:t>Ensure your hands are thoroughly dry before continuing work.</w:t>
            </w:r>
          </w:p>
          <w:p w14:paraId="238E6903" w14:textId="77777777" w:rsidR="00B3032F" w:rsidRPr="00C57C23" w:rsidRDefault="00B3032F" w:rsidP="00B3032F">
            <w:pPr>
              <w:pStyle w:val="Header"/>
              <w:numPr>
                <w:ilvl w:val="0"/>
                <w:numId w:val="15"/>
              </w:numPr>
              <w:rPr>
                <w:rFonts w:ascii="Arial Narrow" w:hAnsi="Arial Narrow" w:cs="Arial Narrow"/>
              </w:rPr>
            </w:pPr>
            <w:r w:rsidRPr="00C57C23">
              <w:rPr>
                <w:rFonts w:ascii="Arial Narrow" w:hAnsi="Arial Narrow" w:cs="Arial Narrow"/>
              </w:rPr>
              <w:t>Use emollient creams regularly, especially after finishing work. Ensure all parts of the hand are covered.</w:t>
            </w:r>
          </w:p>
          <w:p w14:paraId="295F6D23" w14:textId="77777777" w:rsidR="00B3032F" w:rsidRPr="00C57C23" w:rsidRDefault="00B3032F" w:rsidP="00B3032F">
            <w:pPr>
              <w:pStyle w:val="Header"/>
              <w:numPr>
                <w:ilvl w:val="0"/>
                <w:numId w:val="15"/>
              </w:numPr>
              <w:rPr>
                <w:rFonts w:ascii="Arial Narrow" w:hAnsi="Arial Narrow" w:cs="Arial Narrow"/>
              </w:rPr>
            </w:pPr>
            <w:r w:rsidRPr="00C57C23">
              <w:rPr>
                <w:rFonts w:ascii="Arial Narrow" w:hAnsi="Arial Narrow" w:cs="Arial Narrow"/>
              </w:rPr>
              <w:t>Check your skin for early signs and report concerns to your ‘responsible person’. Early detection can help prevent more serious dermatitis from developing</w:t>
            </w:r>
          </w:p>
          <w:p w14:paraId="4CEA9169" w14:textId="77777777" w:rsidR="00B3032F" w:rsidRPr="00C57C23" w:rsidRDefault="00B3032F" w:rsidP="00B3032F">
            <w:pPr>
              <w:pStyle w:val="Header"/>
              <w:numPr>
                <w:ilvl w:val="0"/>
                <w:numId w:val="15"/>
              </w:numPr>
              <w:rPr>
                <w:rFonts w:ascii="Arial Narrow" w:hAnsi="Arial Narrow" w:cs="Arial Narrow"/>
              </w:rPr>
            </w:pPr>
            <w:r w:rsidRPr="00C57C23">
              <w:rPr>
                <w:rFonts w:ascii="Arial Narrow" w:hAnsi="Arial Narrow" w:cs="Arial Narrow"/>
              </w:rPr>
              <w:t>Provide hand hygiene products (eg gentle soaps) that are both effective and minimise the risk of skin disease.</w:t>
            </w:r>
          </w:p>
          <w:p w14:paraId="5DD93DBD" w14:textId="77777777" w:rsidR="00B3032F" w:rsidRPr="00C57C23" w:rsidRDefault="00B3032F" w:rsidP="00B3032F">
            <w:pPr>
              <w:pStyle w:val="Header"/>
              <w:numPr>
                <w:ilvl w:val="0"/>
                <w:numId w:val="15"/>
              </w:numPr>
              <w:rPr>
                <w:rFonts w:ascii="Arial Narrow" w:hAnsi="Arial Narrow" w:cs="Arial Narrow"/>
              </w:rPr>
            </w:pPr>
            <w:r w:rsidRPr="00C57C23">
              <w:rPr>
                <w:rFonts w:ascii="Arial Narrow" w:hAnsi="Arial Narrow" w:cs="Arial Narrow"/>
              </w:rPr>
              <w:t xml:space="preserve">Train employees in use of equipment and gloves, correct hand cleaning and skin care measures (eg regular use of moisturisers). </w:t>
            </w:r>
          </w:p>
          <w:p w14:paraId="72225845" w14:textId="77777777" w:rsidR="00B3032F" w:rsidRPr="00C57C23" w:rsidRDefault="00B3032F" w:rsidP="00B3032F">
            <w:pPr>
              <w:pStyle w:val="Header"/>
              <w:numPr>
                <w:ilvl w:val="0"/>
                <w:numId w:val="15"/>
              </w:numPr>
              <w:rPr>
                <w:rFonts w:ascii="Arial Narrow" w:hAnsi="Arial Narrow" w:cs="Arial Narrow"/>
              </w:rPr>
            </w:pPr>
            <w:r w:rsidRPr="00C57C23">
              <w:rPr>
                <w:rFonts w:ascii="Arial Narrow" w:hAnsi="Arial Narrow" w:cs="Arial Narrow"/>
              </w:rPr>
              <w:t>Provide good hand-drying facilities (eg good-quality, soft paper towels).</w:t>
            </w:r>
          </w:p>
          <w:p w14:paraId="2AA13C63" w14:textId="77777777" w:rsidR="00B3032F" w:rsidRPr="00C57C23" w:rsidRDefault="00B3032F" w:rsidP="00B3032F">
            <w:pPr>
              <w:pStyle w:val="Header"/>
              <w:numPr>
                <w:ilvl w:val="0"/>
                <w:numId w:val="15"/>
              </w:numPr>
              <w:rPr>
                <w:rFonts w:ascii="Arial Narrow" w:hAnsi="Arial Narrow" w:cs="Arial Narrow"/>
              </w:rPr>
            </w:pPr>
            <w:r w:rsidRPr="00C57C23">
              <w:rPr>
                <w:rFonts w:ascii="Arial Narrow" w:hAnsi="Arial Narrow" w:cs="Arial Narrow"/>
              </w:rPr>
              <w:t>Provide emollients in suitable dispensers to prevent cross-contamination.</w:t>
            </w:r>
          </w:p>
          <w:p w14:paraId="06967C68" w14:textId="77777777" w:rsidR="00B3032F" w:rsidRPr="00C57C23" w:rsidRDefault="00B3032F" w:rsidP="00B3032F">
            <w:pPr>
              <w:pStyle w:val="Header"/>
              <w:numPr>
                <w:ilvl w:val="0"/>
                <w:numId w:val="15"/>
              </w:numPr>
              <w:rPr>
                <w:rFonts w:ascii="Arial Narrow" w:hAnsi="Arial Narrow" w:cs="Arial Narrow"/>
              </w:rPr>
            </w:pPr>
            <w:r w:rsidRPr="00C57C23">
              <w:rPr>
                <w:rFonts w:ascii="Arial Narrow" w:hAnsi="Arial Narrow" w:cs="Arial Narrow"/>
              </w:rPr>
              <w:t>Use a system of skin-checking or other appropriate health surveillance to ensure the early signs of dermatitis are detected.</w:t>
            </w:r>
          </w:p>
          <w:p w14:paraId="3C2E7EF3" w14:textId="0A4E9927" w:rsidR="00974F0B" w:rsidRPr="00C57C23" w:rsidRDefault="00B3032F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rPr>
                <w:rFonts w:ascii="Arial Narrow" w:hAnsi="Arial Narrow" w:cs="Arial Narrow"/>
              </w:rPr>
            </w:pPr>
            <w:r w:rsidRPr="00C57C23">
              <w:rPr>
                <w:rFonts w:ascii="Arial Narrow" w:hAnsi="Arial Narrow" w:cs="Arial Narrow"/>
              </w:rPr>
              <w:t>The ‘dose’ of alcohol</w:t>
            </w:r>
            <w:r w:rsidR="00E81AF0">
              <w:rPr>
                <w:rFonts w:ascii="Arial Narrow" w:hAnsi="Arial Narrow" w:cs="Arial Narrow"/>
              </w:rPr>
              <w:t>-</w:t>
            </w:r>
            <w:r w:rsidRPr="00C57C23">
              <w:rPr>
                <w:rFonts w:ascii="Arial Narrow" w:hAnsi="Arial Narrow" w:cs="Arial Narrow"/>
              </w:rPr>
              <w:t>based product used per application is critical to the success of its use. Studies show that at least 3 ml of product should be applied to the hand. More than 4 ml is not likely to improve efficacy providing that at least 3 ml is normally applied. This should equate to sufficient alcohol</w:t>
            </w:r>
            <w:r w:rsidR="00E81AF0">
              <w:rPr>
                <w:rFonts w:ascii="Arial Narrow" w:hAnsi="Arial Narrow" w:cs="Arial Narrow"/>
              </w:rPr>
              <w:t>-</w:t>
            </w:r>
            <w:r w:rsidRPr="00C57C23">
              <w:rPr>
                <w:rFonts w:ascii="Arial Narrow" w:hAnsi="Arial Narrow" w:cs="Arial Narrow"/>
              </w:rPr>
              <w:t>based product to fully lubricate both hands, so that a film of liquid product can be felt to cover the skin of the hands;</w:t>
            </w:r>
          </w:p>
        </w:tc>
        <w:tc>
          <w:tcPr>
            <w:tcW w:w="540" w:type="dxa"/>
            <w:vAlign w:val="center"/>
          </w:tcPr>
          <w:p w14:paraId="5EC8FD61" w14:textId="77777777" w:rsidR="00974F0B" w:rsidRPr="00C57C23" w:rsidRDefault="00D015D9">
            <w:pPr>
              <w:jc w:val="center"/>
              <w:rPr>
                <w:rFonts w:ascii="Arial Narrow" w:hAnsi="Arial Narrow" w:cs="Arial Narrow"/>
              </w:rPr>
            </w:pPr>
            <w:r w:rsidRPr="00C57C23">
              <w:rPr>
                <w:rFonts w:ascii="Arial Narrow" w:hAnsi="Arial Narrow" w:cs="Arial Narrow"/>
              </w:rPr>
              <w:t>1</w:t>
            </w:r>
          </w:p>
        </w:tc>
        <w:tc>
          <w:tcPr>
            <w:tcW w:w="540" w:type="dxa"/>
            <w:vAlign w:val="center"/>
          </w:tcPr>
          <w:p w14:paraId="5FAD488E" w14:textId="26CE0F20" w:rsidR="00974F0B" w:rsidRPr="00C57C23" w:rsidRDefault="00061EB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900" w:type="dxa"/>
            <w:shd w:val="clear" w:color="auto" w:fill="00B050"/>
            <w:vAlign w:val="center"/>
          </w:tcPr>
          <w:p w14:paraId="15C55305" w14:textId="62CA1A27" w:rsidR="00974F0B" w:rsidRPr="00C57C23" w:rsidRDefault="005A3B4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</w:tr>
      <w:tr w:rsidR="00D57280" w14:paraId="47A0050B" w14:textId="77777777" w:rsidTr="002F0DB8">
        <w:trPr>
          <w:cantSplit/>
          <w:trHeight w:val="2331"/>
        </w:trPr>
        <w:tc>
          <w:tcPr>
            <w:tcW w:w="1440" w:type="dxa"/>
            <w:vAlign w:val="center"/>
          </w:tcPr>
          <w:p w14:paraId="77D161B4" w14:textId="1217E55E" w:rsidR="00D57280" w:rsidRPr="00C57C23" w:rsidRDefault="00D57280" w:rsidP="00D57280">
            <w:pPr>
              <w:rPr>
                <w:rFonts w:ascii="Arial Narrow" w:hAnsi="Arial Narrow" w:cs="Arial Narrow"/>
              </w:rPr>
            </w:pPr>
            <w:r w:rsidRPr="00C57C23">
              <w:rPr>
                <w:rFonts w:ascii="Arial Narrow" w:hAnsi="Arial Narrow" w:cs="Arial Narrow"/>
              </w:rPr>
              <w:lastRenderedPageBreak/>
              <w:t>Frequent use of alcohol hand sanitizers</w:t>
            </w:r>
          </w:p>
        </w:tc>
        <w:tc>
          <w:tcPr>
            <w:tcW w:w="1217" w:type="dxa"/>
            <w:vAlign w:val="center"/>
          </w:tcPr>
          <w:p w14:paraId="369E353F" w14:textId="24F1E194" w:rsidR="00D57280" w:rsidRPr="00C57C23" w:rsidRDefault="00D57280" w:rsidP="00D57280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 Narrow"/>
              </w:rPr>
            </w:pPr>
            <w:r w:rsidRPr="00C57C23">
              <w:rPr>
                <w:rFonts w:ascii="Arial Narrow" w:hAnsi="Arial Narrow" w:cs="Arial Narrow"/>
              </w:rPr>
              <w:t>Employees and Visitors</w:t>
            </w:r>
          </w:p>
        </w:tc>
        <w:tc>
          <w:tcPr>
            <w:tcW w:w="1805" w:type="dxa"/>
            <w:vAlign w:val="center"/>
          </w:tcPr>
          <w:p w14:paraId="6E6D794A" w14:textId="6B74F128" w:rsidR="00D57280" w:rsidRPr="00C57C23" w:rsidRDefault="006250E7" w:rsidP="00D57280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Fire risk and </w:t>
            </w:r>
            <w:r w:rsidR="006B26B1">
              <w:rPr>
                <w:rFonts w:ascii="Arial Narrow" w:hAnsi="Arial Narrow" w:cs="Arial Narrow"/>
              </w:rPr>
              <w:t xml:space="preserve">Burns from </w:t>
            </w:r>
            <w:r w:rsidR="003F4A4C">
              <w:rPr>
                <w:rFonts w:ascii="Arial Narrow" w:hAnsi="Arial Narrow" w:cs="Arial Narrow"/>
              </w:rPr>
              <w:t xml:space="preserve">inadvertent ignition of high alcohol content hand sanitiser gel when in contact with ignition source </w:t>
            </w:r>
          </w:p>
        </w:tc>
        <w:tc>
          <w:tcPr>
            <w:tcW w:w="473" w:type="dxa"/>
            <w:vAlign w:val="center"/>
          </w:tcPr>
          <w:p w14:paraId="78D3100E" w14:textId="3243D74B" w:rsidR="00D57280" w:rsidRPr="00C57C23" w:rsidRDefault="001261FD" w:rsidP="00D5728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486" w:type="dxa"/>
            <w:vAlign w:val="center"/>
          </w:tcPr>
          <w:p w14:paraId="541BD2CF" w14:textId="783435F6" w:rsidR="00D57280" w:rsidRDefault="001261FD" w:rsidP="00D5728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657" w:type="dxa"/>
            <w:shd w:val="clear" w:color="auto" w:fill="E36C0A" w:themeFill="accent6" w:themeFillShade="BF"/>
            <w:vAlign w:val="center"/>
          </w:tcPr>
          <w:p w14:paraId="4A73346D" w14:textId="0B289F62" w:rsidR="00D57280" w:rsidRDefault="002369E3" w:rsidP="00D5728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</w:t>
            </w:r>
          </w:p>
        </w:tc>
        <w:tc>
          <w:tcPr>
            <w:tcW w:w="6162" w:type="dxa"/>
            <w:vAlign w:val="center"/>
          </w:tcPr>
          <w:p w14:paraId="10880B6F" w14:textId="14F10B89" w:rsidR="00E22050" w:rsidRDefault="00E22050" w:rsidP="00E22050">
            <w:pPr>
              <w:pStyle w:val="Header"/>
              <w:numPr>
                <w:ilvl w:val="0"/>
                <w:numId w:val="15"/>
              </w:numPr>
              <w:rPr>
                <w:rFonts w:ascii="Arial Narrow" w:hAnsi="Arial Narrow" w:cs="Arial Narrow"/>
              </w:rPr>
            </w:pPr>
            <w:r w:rsidRPr="00C57C23">
              <w:rPr>
                <w:rFonts w:ascii="Arial Narrow" w:hAnsi="Arial Narrow" w:cs="Arial Narrow"/>
              </w:rPr>
              <w:t>Ensure your hands are thoroughly dry before continuing work.</w:t>
            </w:r>
          </w:p>
          <w:p w14:paraId="7E54501F" w14:textId="163706BC" w:rsidR="001E4A8C" w:rsidRDefault="001E4A8C" w:rsidP="00E22050">
            <w:pPr>
              <w:pStyle w:val="Header"/>
              <w:numPr>
                <w:ilvl w:val="0"/>
                <w:numId w:val="15"/>
              </w:num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Avoid </w:t>
            </w:r>
            <w:r w:rsidR="007237CA">
              <w:rPr>
                <w:rFonts w:ascii="Arial Narrow" w:hAnsi="Arial Narrow" w:cs="Arial Narrow"/>
              </w:rPr>
              <w:t>touching any surface until hand sanitiser has completely</w:t>
            </w:r>
            <w:r w:rsidR="00783E01">
              <w:rPr>
                <w:rFonts w:ascii="Arial Narrow" w:hAnsi="Arial Narrow" w:cs="Arial Narrow"/>
              </w:rPr>
              <w:t xml:space="preserve"> dried/</w:t>
            </w:r>
            <w:r w:rsidR="006C012C">
              <w:rPr>
                <w:rFonts w:ascii="Arial Narrow" w:hAnsi="Arial Narrow" w:cs="Arial Narrow"/>
              </w:rPr>
              <w:t>evaporated</w:t>
            </w:r>
          </w:p>
          <w:p w14:paraId="030808F5" w14:textId="146CD8E0" w:rsidR="00783E01" w:rsidRPr="00C57C23" w:rsidRDefault="006C012C" w:rsidP="00E22050">
            <w:pPr>
              <w:pStyle w:val="Header"/>
              <w:numPr>
                <w:ilvl w:val="0"/>
                <w:numId w:val="15"/>
              </w:num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Do not smoke or </w:t>
            </w:r>
            <w:r w:rsidR="00FD62A5">
              <w:rPr>
                <w:rFonts w:ascii="Arial Narrow" w:hAnsi="Arial Narrow" w:cs="Arial Narrow"/>
              </w:rPr>
              <w:t>use ignition sources until hand sanitiser has completely dried/evaporated</w:t>
            </w:r>
          </w:p>
          <w:p w14:paraId="40AF22A6" w14:textId="77777777" w:rsidR="00D57280" w:rsidRPr="00C57C23" w:rsidRDefault="00D57280" w:rsidP="00D57280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 Narrow"/>
              </w:rPr>
            </w:pPr>
          </w:p>
        </w:tc>
        <w:tc>
          <w:tcPr>
            <w:tcW w:w="540" w:type="dxa"/>
            <w:vAlign w:val="center"/>
          </w:tcPr>
          <w:p w14:paraId="19D1071C" w14:textId="7F9E10B2" w:rsidR="00D57280" w:rsidRPr="00C57C23" w:rsidRDefault="001261FD" w:rsidP="00D5728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540" w:type="dxa"/>
            <w:vAlign w:val="center"/>
          </w:tcPr>
          <w:p w14:paraId="030A779F" w14:textId="2E21A3D1" w:rsidR="00D57280" w:rsidRDefault="001261FD" w:rsidP="00D5728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900" w:type="dxa"/>
            <w:shd w:val="clear" w:color="auto" w:fill="00B050"/>
            <w:vAlign w:val="center"/>
          </w:tcPr>
          <w:p w14:paraId="439BB5F3" w14:textId="30771E36" w:rsidR="00D57280" w:rsidRDefault="002369E3" w:rsidP="00D5728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</w:tr>
      <w:tr w:rsidR="004626AB" w14:paraId="66E7FC22" w14:textId="77777777" w:rsidTr="004E10A5">
        <w:trPr>
          <w:cantSplit/>
          <w:trHeight w:val="2331"/>
        </w:trPr>
        <w:tc>
          <w:tcPr>
            <w:tcW w:w="1440" w:type="dxa"/>
            <w:vAlign w:val="center"/>
          </w:tcPr>
          <w:p w14:paraId="617F14F5" w14:textId="1703F40B" w:rsidR="004626AB" w:rsidRPr="00C57C23" w:rsidRDefault="004626AB" w:rsidP="004626A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Storage of High Alcohol Content Hand Sanitizer</w:t>
            </w:r>
          </w:p>
        </w:tc>
        <w:tc>
          <w:tcPr>
            <w:tcW w:w="1217" w:type="dxa"/>
            <w:vAlign w:val="center"/>
          </w:tcPr>
          <w:p w14:paraId="6353D704" w14:textId="7F8F9FB8" w:rsidR="004626AB" w:rsidRPr="00C57C23" w:rsidRDefault="004626AB" w:rsidP="004626AB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 Narrow"/>
              </w:rPr>
            </w:pPr>
            <w:r w:rsidRPr="00C57C23">
              <w:rPr>
                <w:rFonts w:ascii="Arial Narrow" w:hAnsi="Arial Narrow" w:cs="Arial Narrow"/>
              </w:rPr>
              <w:t>Employees and Visitors</w:t>
            </w:r>
          </w:p>
        </w:tc>
        <w:tc>
          <w:tcPr>
            <w:tcW w:w="1805" w:type="dxa"/>
            <w:vAlign w:val="center"/>
          </w:tcPr>
          <w:p w14:paraId="226C9064" w14:textId="7E101483" w:rsidR="004626AB" w:rsidRDefault="004626AB" w:rsidP="004626AB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Fire risk from </w:t>
            </w:r>
            <w:r w:rsidR="00A53547">
              <w:rPr>
                <w:rFonts w:ascii="Arial Narrow" w:hAnsi="Arial Narrow" w:cs="Arial Narrow"/>
              </w:rPr>
              <w:t>incorrect storage of flammable materials</w:t>
            </w:r>
            <w:r>
              <w:rPr>
                <w:rFonts w:ascii="Arial Narrow" w:hAnsi="Arial Narrow" w:cs="Arial Narrow"/>
              </w:rPr>
              <w:t xml:space="preserve"> </w:t>
            </w:r>
          </w:p>
        </w:tc>
        <w:tc>
          <w:tcPr>
            <w:tcW w:w="473" w:type="dxa"/>
            <w:vAlign w:val="center"/>
          </w:tcPr>
          <w:p w14:paraId="39EC214C" w14:textId="49EFE019" w:rsidR="004626AB" w:rsidRDefault="00A53547" w:rsidP="004626A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486" w:type="dxa"/>
            <w:vAlign w:val="center"/>
          </w:tcPr>
          <w:p w14:paraId="32C639B3" w14:textId="1274F853" w:rsidR="004626AB" w:rsidRDefault="00A53547" w:rsidP="004626A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657" w:type="dxa"/>
            <w:shd w:val="clear" w:color="auto" w:fill="FF0000"/>
            <w:vAlign w:val="center"/>
          </w:tcPr>
          <w:p w14:paraId="79A060BD" w14:textId="1152EB0C" w:rsidR="004626AB" w:rsidRDefault="00A53547" w:rsidP="004626A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</w:t>
            </w:r>
          </w:p>
        </w:tc>
        <w:tc>
          <w:tcPr>
            <w:tcW w:w="6162" w:type="dxa"/>
            <w:vAlign w:val="center"/>
          </w:tcPr>
          <w:p w14:paraId="51D4F02F" w14:textId="77777777" w:rsidR="004626AB" w:rsidRDefault="004E10A5" w:rsidP="004626AB">
            <w:pPr>
              <w:pStyle w:val="Header"/>
              <w:numPr>
                <w:ilvl w:val="0"/>
                <w:numId w:val="15"/>
              </w:num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Ensure that all flammable materials are stored in accordance with </w:t>
            </w:r>
            <w:hyperlink r:id="rId7" w:history="1">
              <w:r w:rsidR="00E91C0B" w:rsidRPr="002A131D">
                <w:rPr>
                  <w:rStyle w:val="Hyperlink"/>
                  <w:rFonts w:ascii="Arial Narrow" w:hAnsi="Arial Narrow" w:cs="Arial Narrow"/>
                </w:rPr>
                <w:t>H</w:t>
              </w:r>
              <w:r w:rsidR="006A395B" w:rsidRPr="002A131D">
                <w:rPr>
                  <w:rStyle w:val="Hyperlink"/>
                  <w:rFonts w:ascii="Arial Narrow" w:hAnsi="Arial Narrow" w:cs="Arial Narrow"/>
                </w:rPr>
                <w:t>SG51</w:t>
              </w:r>
            </w:hyperlink>
          </w:p>
          <w:p w14:paraId="0E1EA2EC" w14:textId="77777777" w:rsidR="002A131D" w:rsidRDefault="00F755E2" w:rsidP="004626AB">
            <w:pPr>
              <w:pStyle w:val="Header"/>
              <w:numPr>
                <w:ilvl w:val="0"/>
                <w:numId w:val="15"/>
              </w:num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Where necessary undertake an assessment in accordance with </w:t>
            </w:r>
            <w:hyperlink r:id="rId8" w:history="1">
              <w:r w:rsidRPr="00C16BC2">
                <w:rPr>
                  <w:rStyle w:val="Hyperlink"/>
                  <w:rFonts w:ascii="Arial Narrow" w:hAnsi="Arial Narrow" w:cs="Arial Narrow"/>
                </w:rPr>
                <w:t>DSEAR</w:t>
              </w:r>
            </w:hyperlink>
            <w:r w:rsidR="00026E75">
              <w:rPr>
                <w:rFonts w:ascii="Arial Narrow" w:hAnsi="Arial Narrow" w:cs="Arial Narrow"/>
              </w:rPr>
              <w:t xml:space="preserve"> and undertake mitigati</w:t>
            </w:r>
            <w:r w:rsidR="00F96949">
              <w:rPr>
                <w:rFonts w:ascii="Arial Narrow" w:hAnsi="Arial Narrow" w:cs="Arial Narrow"/>
              </w:rPr>
              <w:t>ng actions</w:t>
            </w:r>
          </w:p>
          <w:p w14:paraId="18AC3543" w14:textId="14746EC5" w:rsidR="00F96949" w:rsidRPr="00C57C23" w:rsidRDefault="00F96949" w:rsidP="004626AB">
            <w:pPr>
              <w:pStyle w:val="Header"/>
              <w:numPr>
                <w:ilvl w:val="0"/>
                <w:numId w:val="15"/>
              </w:num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Ensure that all </w:t>
            </w:r>
            <w:r w:rsidR="007706B7">
              <w:rPr>
                <w:rFonts w:ascii="Arial Narrow" w:hAnsi="Arial Narrow" w:cs="Arial Narrow"/>
              </w:rPr>
              <w:t>sources of ignition are isolated from storage areas</w:t>
            </w:r>
          </w:p>
        </w:tc>
        <w:tc>
          <w:tcPr>
            <w:tcW w:w="540" w:type="dxa"/>
            <w:vAlign w:val="center"/>
          </w:tcPr>
          <w:p w14:paraId="218415E5" w14:textId="3D3E8FB5" w:rsidR="004626AB" w:rsidRDefault="00026E75" w:rsidP="004626A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540" w:type="dxa"/>
            <w:vAlign w:val="center"/>
          </w:tcPr>
          <w:p w14:paraId="6348C1C3" w14:textId="241BF37D" w:rsidR="004626AB" w:rsidRDefault="00026E75" w:rsidP="004626A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900" w:type="dxa"/>
            <w:shd w:val="clear" w:color="auto" w:fill="00B050"/>
            <w:vAlign w:val="center"/>
          </w:tcPr>
          <w:p w14:paraId="793E524B" w14:textId="5F58C8FE" w:rsidR="004626AB" w:rsidRDefault="00026E75" w:rsidP="004626A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</w:tr>
    </w:tbl>
    <w:p w14:paraId="4B7C9A49" w14:textId="4B50F34C" w:rsidR="00974F0B" w:rsidRDefault="00974F0B">
      <w:pPr>
        <w:pStyle w:val="Header"/>
        <w:tabs>
          <w:tab w:val="clear" w:pos="4320"/>
          <w:tab w:val="clear" w:pos="8640"/>
        </w:tabs>
      </w:pPr>
    </w:p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080"/>
        <w:gridCol w:w="1942"/>
        <w:gridCol w:w="473"/>
        <w:gridCol w:w="486"/>
        <w:gridCol w:w="657"/>
        <w:gridCol w:w="6162"/>
        <w:gridCol w:w="540"/>
        <w:gridCol w:w="540"/>
        <w:gridCol w:w="900"/>
      </w:tblGrid>
      <w:tr w:rsidR="00974F0B" w14:paraId="4BD490FC" w14:textId="77777777">
        <w:trPr>
          <w:cantSplit/>
          <w:trHeight w:val="310"/>
        </w:trPr>
        <w:tc>
          <w:tcPr>
            <w:tcW w:w="1440" w:type="dxa"/>
            <w:vMerge w:val="restart"/>
            <w:vAlign w:val="center"/>
          </w:tcPr>
          <w:p w14:paraId="0637CDAC" w14:textId="77777777" w:rsidR="00974F0B" w:rsidRPr="00C57C23" w:rsidRDefault="009931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C57C2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ACTIVITY</w:t>
            </w:r>
          </w:p>
        </w:tc>
        <w:tc>
          <w:tcPr>
            <w:tcW w:w="1080" w:type="dxa"/>
            <w:vMerge w:val="restart"/>
            <w:vAlign w:val="center"/>
          </w:tcPr>
          <w:p w14:paraId="25D9E939" w14:textId="77777777" w:rsidR="00974F0B" w:rsidRPr="00C57C23" w:rsidRDefault="009931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C57C2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PERSON AT RISK</w:t>
            </w:r>
          </w:p>
        </w:tc>
        <w:tc>
          <w:tcPr>
            <w:tcW w:w="1942" w:type="dxa"/>
            <w:vMerge w:val="restart"/>
            <w:vAlign w:val="center"/>
          </w:tcPr>
          <w:p w14:paraId="33D4E9DA" w14:textId="77777777" w:rsidR="00974F0B" w:rsidRPr="00C57C23" w:rsidRDefault="009931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C57C2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SIGNIFICANT HAZARDS</w:t>
            </w:r>
          </w:p>
        </w:tc>
        <w:tc>
          <w:tcPr>
            <w:tcW w:w="1616" w:type="dxa"/>
            <w:gridSpan w:val="3"/>
            <w:vAlign w:val="center"/>
          </w:tcPr>
          <w:p w14:paraId="0A1C283D" w14:textId="77777777" w:rsidR="00974F0B" w:rsidRPr="00C57C23" w:rsidRDefault="009931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C57C2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RISK*</w:t>
            </w:r>
          </w:p>
        </w:tc>
        <w:tc>
          <w:tcPr>
            <w:tcW w:w="6162" w:type="dxa"/>
            <w:vMerge w:val="restart"/>
            <w:vAlign w:val="center"/>
          </w:tcPr>
          <w:p w14:paraId="7540700B" w14:textId="77777777" w:rsidR="00974F0B" w:rsidRPr="00C57C23" w:rsidRDefault="009931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C57C2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RISK CONTROL MEASURES</w:t>
            </w:r>
          </w:p>
        </w:tc>
        <w:tc>
          <w:tcPr>
            <w:tcW w:w="1980" w:type="dxa"/>
            <w:gridSpan w:val="3"/>
            <w:vAlign w:val="center"/>
          </w:tcPr>
          <w:p w14:paraId="44174590" w14:textId="77777777" w:rsidR="00974F0B" w:rsidRPr="00C57C23" w:rsidRDefault="009931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C57C2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RESIDUAL RISK**</w:t>
            </w:r>
          </w:p>
        </w:tc>
      </w:tr>
      <w:tr w:rsidR="00974F0B" w14:paraId="3BC9C27F" w14:textId="77777777">
        <w:trPr>
          <w:cantSplit/>
          <w:trHeight w:val="310"/>
        </w:trPr>
        <w:tc>
          <w:tcPr>
            <w:tcW w:w="1440" w:type="dxa"/>
            <w:vMerge/>
          </w:tcPr>
          <w:p w14:paraId="34CAEE10" w14:textId="77777777" w:rsidR="00974F0B" w:rsidRPr="00C57C23" w:rsidRDefault="00974F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81B9F78" w14:textId="77777777" w:rsidR="00974F0B" w:rsidRPr="00C57C23" w:rsidRDefault="00974F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vMerge/>
          </w:tcPr>
          <w:p w14:paraId="06C1BFA0" w14:textId="77777777" w:rsidR="00974F0B" w:rsidRPr="00C57C23" w:rsidRDefault="00974F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51E1085C" w14:textId="77777777" w:rsidR="00974F0B" w:rsidRPr="00C57C23" w:rsidRDefault="009931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C57C2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L</w:t>
            </w:r>
          </w:p>
        </w:tc>
        <w:tc>
          <w:tcPr>
            <w:tcW w:w="486" w:type="dxa"/>
          </w:tcPr>
          <w:p w14:paraId="410A83D8" w14:textId="77777777" w:rsidR="00974F0B" w:rsidRPr="00C57C23" w:rsidRDefault="009931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nl-NL"/>
              </w:rPr>
            </w:pPr>
            <w:r w:rsidRPr="00C57C2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nl-NL"/>
              </w:rPr>
              <w:t>S</w:t>
            </w:r>
          </w:p>
        </w:tc>
        <w:tc>
          <w:tcPr>
            <w:tcW w:w="657" w:type="dxa"/>
          </w:tcPr>
          <w:p w14:paraId="4B70C7D1" w14:textId="77777777" w:rsidR="00974F0B" w:rsidRPr="00C57C23" w:rsidRDefault="009931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nl-NL"/>
              </w:rPr>
            </w:pPr>
            <w:r w:rsidRPr="00C57C2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nl-NL"/>
              </w:rPr>
              <w:t>R</w:t>
            </w:r>
            <w:r w:rsidR="00D015D9" w:rsidRPr="00C57C2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nl-NL"/>
              </w:rPr>
              <w:t>isk</w:t>
            </w:r>
          </w:p>
        </w:tc>
        <w:tc>
          <w:tcPr>
            <w:tcW w:w="6162" w:type="dxa"/>
            <w:vMerge/>
          </w:tcPr>
          <w:p w14:paraId="40AE684E" w14:textId="77777777" w:rsidR="00974F0B" w:rsidRPr="00C57C23" w:rsidRDefault="00974F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540" w:type="dxa"/>
          </w:tcPr>
          <w:p w14:paraId="7DE447D5" w14:textId="77777777" w:rsidR="00974F0B" w:rsidRPr="00C57C23" w:rsidRDefault="009931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nl-NL"/>
              </w:rPr>
            </w:pPr>
            <w:r w:rsidRPr="00C57C2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nl-NL"/>
              </w:rPr>
              <w:t>L</w:t>
            </w:r>
          </w:p>
        </w:tc>
        <w:tc>
          <w:tcPr>
            <w:tcW w:w="540" w:type="dxa"/>
          </w:tcPr>
          <w:p w14:paraId="39A4ABDE" w14:textId="77777777" w:rsidR="00974F0B" w:rsidRPr="00C57C23" w:rsidRDefault="009931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C57C2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900" w:type="dxa"/>
          </w:tcPr>
          <w:p w14:paraId="7D62364A" w14:textId="77777777" w:rsidR="00974F0B" w:rsidRPr="00C57C23" w:rsidRDefault="009931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C57C2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R</w:t>
            </w:r>
            <w:r w:rsidR="00D015D9" w:rsidRPr="00C57C23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isk</w:t>
            </w:r>
          </w:p>
        </w:tc>
      </w:tr>
      <w:tr w:rsidR="00974F0B" w14:paraId="215DD346" w14:textId="77777777">
        <w:trPr>
          <w:cantSplit/>
          <w:trHeight w:val="1347"/>
        </w:trPr>
        <w:tc>
          <w:tcPr>
            <w:tcW w:w="14220" w:type="dxa"/>
            <w:gridSpan w:val="10"/>
            <w:vAlign w:val="center"/>
          </w:tcPr>
          <w:p w14:paraId="5C9B4E53" w14:textId="77777777" w:rsidR="00974F0B" w:rsidRPr="00C57C23" w:rsidRDefault="00993176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14" w:color="auto"/>
              </w:pBdr>
              <w:tabs>
                <w:tab w:val="left" w:pos="720"/>
                <w:tab w:val="left" w:pos="115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57C23">
              <w:rPr>
                <w:rFonts w:ascii="Arial Narrow" w:hAnsi="Arial Narrow" w:cs="Arial Narrow"/>
                <w:color w:val="000000"/>
                <w:sz w:val="18"/>
                <w:szCs w:val="18"/>
              </w:rPr>
              <w:t>LIKELIHOOD</w:t>
            </w:r>
            <w:r w:rsidRPr="00C57C23"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  <w:t xml:space="preserve">(L) = Frequent (5) - Probable (4) - Occasional (3) - Improbable (2) - Remote (1) </w:t>
            </w:r>
          </w:p>
          <w:p w14:paraId="4D18BB0A" w14:textId="77777777" w:rsidR="00974F0B" w:rsidRPr="00C57C23" w:rsidRDefault="00993176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14" w:color="auto"/>
              </w:pBdr>
              <w:tabs>
                <w:tab w:val="left" w:pos="720"/>
                <w:tab w:val="left" w:pos="115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57C23">
              <w:rPr>
                <w:rFonts w:ascii="Arial Narrow" w:hAnsi="Arial Narrow" w:cs="Arial Narrow"/>
                <w:color w:val="000000"/>
                <w:sz w:val="18"/>
                <w:szCs w:val="18"/>
              </w:rPr>
              <w:t>SEVERITY</w:t>
            </w:r>
            <w:r w:rsidRPr="00C57C23"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  <w:t>(S) = Catastrophic (5) - Major (4) - Reportable (3) - Serious (2) - Minor (1)</w:t>
            </w:r>
          </w:p>
          <w:p w14:paraId="48CC5642" w14:textId="77777777" w:rsidR="00974F0B" w:rsidRPr="00C57C23" w:rsidRDefault="00993176">
            <w:pPr>
              <w:pBdr>
                <w:top w:val="single" w:sz="4" w:space="1" w:color="auto"/>
                <w:left w:val="single" w:sz="4" w:space="18" w:color="auto"/>
                <w:bottom w:val="single" w:sz="4" w:space="1" w:color="auto"/>
                <w:right w:val="single" w:sz="4" w:space="14" w:color="auto"/>
              </w:pBdr>
              <w:rPr>
                <w:rFonts w:ascii="Arial Narrow" w:hAnsi="Arial Narrow" w:cs="Arial Narrow"/>
                <w:sz w:val="18"/>
                <w:szCs w:val="18"/>
              </w:rPr>
            </w:pPr>
            <w:r w:rsidRPr="00C57C23">
              <w:rPr>
                <w:rFonts w:ascii="Arial Narrow" w:hAnsi="Arial Narrow" w:cs="Arial Narrow"/>
                <w:color w:val="000000"/>
                <w:sz w:val="18"/>
                <w:szCs w:val="18"/>
              </w:rPr>
              <w:t>Risk = LIKELIHOOD x SEVERITY</w:t>
            </w:r>
            <w:r w:rsidRPr="00C57C23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  <w:p w14:paraId="621603D5" w14:textId="77777777" w:rsidR="00974F0B" w:rsidRPr="00C57C23" w:rsidRDefault="0099317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57C23">
              <w:rPr>
                <w:rFonts w:ascii="Arial Narrow" w:hAnsi="Arial Narrow" w:cs="Arial Narrow"/>
                <w:sz w:val="18"/>
                <w:szCs w:val="18"/>
              </w:rPr>
              <w:t>* Numbers used are for illustrative purposes only.</w:t>
            </w:r>
          </w:p>
          <w:p w14:paraId="019DE4C4" w14:textId="77777777" w:rsidR="00974F0B" w:rsidRPr="00C57C23" w:rsidRDefault="0099317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57C23">
              <w:rPr>
                <w:rFonts w:ascii="Arial Narrow" w:hAnsi="Arial Narrow" w:cs="Arial Narrow"/>
                <w:sz w:val="18"/>
                <w:szCs w:val="18"/>
              </w:rPr>
              <w:t>** Residual risk is the level of risk that remains after suitable and sufficient control measures are introduced.</w:t>
            </w:r>
          </w:p>
        </w:tc>
      </w:tr>
    </w:tbl>
    <w:p w14:paraId="677BB4F0" w14:textId="32AF8ED2" w:rsidR="00993176" w:rsidRDefault="00993176" w:rsidP="002C0776"/>
    <w:p w14:paraId="667D1D3F" w14:textId="77777777" w:rsidR="00CC25B5" w:rsidRPr="00920309" w:rsidRDefault="00CC25B5" w:rsidP="00CC25B5">
      <w:pPr>
        <w:rPr>
          <w:rFonts w:ascii="Arial Narrow" w:hAnsi="Arial Narrow"/>
        </w:rPr>
      </w:pPr>
    </w:p>
    <w:p w14:paraId="1352102C" w14:textId="77777777" w:rsidR="004A75EB" w:rsidRDefault="004A75EB">
      <w:pPr>
        <w:spacing w:after="20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14:paraId="68D7EAA7" w14:textId="0FA3A087" w:rsidR="00CC25B5" w:rsidRPr="00920309" w:rsidRDefault="00CC25B5" w:rsidP="00CC25B5">
      <w:pPr>
        <w:rPr>
          <w:rFonts w:ascii="Arial Narrow" w:hAnsi="Arial Narrow"/>
          <w:b/>
        </w:rPr>
      </w:pPr>
      <w:r w:rsidRPr="00920309">
        <w:rPr>
          <w:rFonts w:ascii="Arial Narrow" w:hAnsi="Arial Narrow"/>
          <w:b/>
        </w:rPr>
        <w:lastRenderedPageBreak/>
        <w:t>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3"/>
        <w:gridCol w:w="479"/>
      </w:tblGrid>
      <w:tr w:rsidR="00CC25B5" w:rsidRPr="00920309" w14:paraId="2B538C48" w14:textId="77777777" w:rsidTr="00515C32">
        <w:trPr>
          <w:trHeight w:val="256"/>
        </w:trPr>
        <w:tc>
          <w:tcPr>
            <w:tcW w:w="2453" w:type="dxa"/>
          </w:tcPr>
          <w:p w14:paraId="3E51F0AB" w14:textId="77777777" w:rsidR="00CC25B5" w:rsidRPr="00920309" w:rsidRDefault="00CC25B5" w:rsidP="00ED32CD">
            <w:pPr>
              <w:rPr>
                <w:rFonts w:ascii="Arial Narrow" w:hAnsi="Arial Narrow"/>
              </w:rPr>
            </w:pPr>
            <w:r w:rsidRPr="00920309">
              <w:rPr>
                <w:rFonts w:ascii="Arial Narrow" w:hAnsi="Arial Narrow"/>
              </w:rPr>
              <w:t>High – Immediate Action</w:t>
            </w:r>
          </w:p>
        </w:tc>
        <w:tc>
          <w:tcPr>
            <w:tcW w:w="479" w:type="dxa"/>
            <w:shd w:val="clear" w:color="auto" w:fill="FF0000"/>
          </w:tcPr>
          <w:p w14:paraId="688AAE74" w14:textId="77777777" w:rsidR="00CC25B5" w:rsidRPr="00920309" w:rsidRDefault="00CC25B5" w:rsidP="00ED32CD">
            <w:pPr>
              <w:rPr>
                <w:rFonts w:ascii="Arial Narrow" w:hAnsi="Arial Narrow"/>
              </w:rPr>
            </w:pPr>
          </w:p>
        </w:tc>
      </w:tr>
      <w:tr w:rsidR="00CC25B5" w:rsidRPr="00920309" w14:paraId="1B5D84AD" w14:textId="77777777" w:rsidTr="00515C32">
        <w:trPr>
          <w:trHeight w:val="241"/>
        </w:trPr>
        <w:tc>
          <w:tcPr>
            <w:tcW w:w="2453" w:type="dxa"/>
          </w:tcPr>
          <w:p w14:paraId="3F396E76" w14:textId="77777777" w:rsidR="00CC25B5" w:rsidRPr="00920309" w:rsidRDefault="00CC25B5" w:rsidP="00ED32CD">
            <w:pPr>
              <w:rPr>
                <w:rFonts w:ascii="Arial Narrow" w:hAnsi="Arial Narrow"/>
              </w:rPr>
            </w:pPr>
            <w:r w:rsidRPr="00920309">
              <w:rPr>
                <w:rFonts w:ascii="Arial Narrow" w:hAnsi="Arial Narrow"/>
              </w:rPr>
              <w:t>Medium – Plan to take action</w:t>
            </w:r>
          </w:p>
        </w:tc>
        <w:tc>
          <w:tcPr>
            <w:tcW w:w="479" w:type="dxa"/>
            <w:shd w:val="clear" w:color="auto" w:fill="E36C0A" w:themeFill="accent6" w:themeFillShade="BF"/>
          </w:tcPr>
          <w:p w14:paraId="194F8993" w14:textId="77777777" w:rsidR="00CC25B5" w:rsidRPr="00920309" w:rsidRDefault="00CC25B5" w:rsidP="00ED32CD">
            <w:pPr>
              <w:rPr>
                <w:rFonts w:ascii="Arial Narrow" w:hAnsi="Arial Narrow"/>
              </w:rPr>
            </w:pPr>
          </w:p>
        </w:tc>
      </w:tr>
      <w:tr w:rsidR="00CC25B5" w:rsidRPr="00920309" w14:paraId="306F900C" w14:textId="77777777" w:rsidTr="00515C32">
        <w:trPr>
          <w:trHeight w:val="256"/>
        </w:trPr>
        <w:tc>
          <w:tcPr>
            <w:tcW w:w="2453" w:type="dxa"/>
          </w:tcPr>
          <w:p w14:paraId="6DB7A421" w14:textId="77777777" w:rsidR="00CC25B5" w:rsidRPr="00920309" w:rsidRDefault="00CC25B5" w:rsidP="00ED32CD">
            <w:pPr>
              <w:rPr>
                <w:rFonts w:ascii="Arial Narrow" w:hAnsi="Arial Narrow"/>
              </w:rPr>
            </w:pPr>
            <w:r w:rsidRPr="00920309">
              <w:rPr>
                <w:rFonts w:ascii="Arial Narrow" w:hAnsi="Arial Narrow"/>
              </w:rPr>
              <w:t>Low – Minimal Risk</w:t>
            </w:r>
          </w:p>
        </w:tc>
        <w:tc>
          <w:tcPr>
            <w:tcW w:w="479" w:type="dxa"/>
            <w:shd w:val="clear" w:color="auto" w:fill="00B050"/>
          </w:tcPr>
          <w:p w14:paraId="39208A8A" w14:textId="77777777" w:rsidR="00CC25B5" w:rsidRPr="00920309" w:rsidRDefault="00CC25B5" w:rsidP="00ED32CD">
            <w:pPr>
              <w:rPr>
                <w:rFonts w:ascii="Arial Narrow" w:hAnsi="Arial Narrow"/>
              </w:rPr>
            </w:pPr>
          </w:p>
        </w:tc>
      </w:tr>
    </w:tbl>
    <w:p w14:paraId="42F5F3E0" w14:textId="77777777" w:rsidR="00CC25B5" w:rsidRPr="00920309" w:rsidRDefault="00CC25B5" w:rsidP="00CC25B5">
      <w:pPr>
        <w:rPr>
          <w:rFonts w:ascii="Arial Narrow" w:hAnsi="Arial Narrow"/>
        </w:rPr>
      </w:pPr>
    </w:p>
    <w:p w14:paraId="7099B835" w14:textId="77777777" w:rsidR="00CC25B5" w:rsidRPr="00920309" w:rsidRDefault="00CC25B5" w:rsidP="00CC25B5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"/>
        <w:gridCol w:w="692"/>
        <w:gridCol w:w="659"/>
        <w:gridCol w:w="659"/>
        <w:gridCol w:w="660"/>
        <w:gridCol w:w="659"/>
        <w:gridCol w:w="664"/>
      </w:tblGrid>
      <w:tr w:rsidR="00CC25B5" w:rsidRPr="00920309" w14:paraId="1B9C7EA4" w14:textId="77777777" w:rsidTr="002369E3">
        <w:trPr>
          <w:cantSplit/>
          <w:trHeight w:val="254"/>
        </w:trPr>
        <w:tc>
          <w:tcPr>
            <w:tcW w:w="447" w:type="dxa"/>
            <w:shd w:val="clear" w:color="auto" w:fill="C0C0C0"/>
          </w:tcPr>
          <w:p w14:paraId="543CAF4E" w14:textId="77777777" w:rsidR="00CC25B5" w:rsidRPr="00920309" w:rsidRDefault="00CC25B5" w:rsidP="00ED32CD">
            <w:pPr>
              <w:pStyle w:val="BodyText2"/>
            </w:pPr>
          </w:p>
        </w:tc>
        <w:tc>
          <w:tcPr>
            <w:tcW w:w="3993" w:type="dxa"/>
            <w:gridSpan w:val="6"/>
          </w:tcPr>
          <w:p w14:paraId="371E2C76" w14:textId="77777777" w:rsidR="00CC25B5" w:rsidRPr="00920309" w:rsidRDefault="00CC25B5" w:rsidP="00ED32CD">
            <w:pPr>
              <w:pStyle w:val="BodyText2"/>
            </w:pPr>
            <w:r w:rsidRPr="00920309">
              <w:t>Severity</w:t>
            </w:r>
          </w:p>
        </w:tc>
      </w:tr>
      <w:tr w:rsidR="00CC25B5" w:rsidRPr="00920309" w14:paraId="28DA46EE" w14:textId="77777777" w:rsidTr="002369E3">
        <w:trPr>
          <w:cantSplit/>
          <w:trHeight w:val="254"/>
        </w:trPr>
        <w:tc>
          <w:tcPr>
            <w:tcW w:w="447" w:type="dxa"/>
            <w:vMerge w:val="restart"/>
            <w:textDirection w:val="btLr"/>
          </w:tcPr>
          <w:p w14:paraId="5DB30FE6" w14:textId="77777777" w:rsidR="00CC25B5" w:rsidRPr="00920309" w:rsidRDefault="00CC25B5" w:rsidP="00ED32CD">
            <w:pPr>
              <w:pStyle w:val="BodyText2"/>
              <w:ind w:left="113" w:right="113"/>
            </w:pPr>
            <w:r w:rsidRPr="00920309">
              <w:t>Likelihood</w:t>
            </w:r>
          </w:p>
        </w:tc>
        <w:tc>
          <w:tcPr>
            <w:tcW w:w="692" w:type="dxa"/>
          </w:tcPr>
          <w:p w14:paraId="3975DED8" w14:textId="77777777" w:rsidR="00CC25B5" w:rsidRPr="00920309" w:rsidRDefault="00CC25B5" w:rsidP="00ED32CD">
            <w:pPr>
              <w:pStyle w:val="BodyText2"/>
              <w:jc w:val="both"/>
            </w:pPr>
          </w:p>
        </w:tc>
        <w:tc>
          <w:tcPr>
            <w:tcW w:w="659" w:type="dxa"/>
          </w:tcPr>
          <w:p w14:paraId="79F2DAB5" w14:textId="77777777" w:rsidR="00CC25B5" w:rsidRPr="00920309" w:rsidRDefault="00CC25B5" w:rsidP="00ED32CD">
            <w:pPr>
              <w:pStyle w:val="BodyText2"/>
            </w:pPr>
            <w:r w:rsidRPr="00920309">
              <w:t>1</w:t>
            </w:r>
          </w:p>
        </w:tc>
        <w:tc>
          <w:tcPr>
            <w:tcW w:w="659" w:type="dxa"/>
          </w:tcPr>
          <w:p w14:paraId="74BD5493" w14:textId="77777777" w:rsidR="00CC25B5" w:rsidRPr="00920309" w:rsidRDefault="00CC25B5" w:rsidP="00ED32CD">
            <w:pPr>
              <w:pStyle w:val="BodyText2"/>
            </w:pPr>
            <w:r w:rsidRPr="00920309">
              <w:t>2</w:t>
            </w:r>
          </w:p>
        </w:tc>
        <w:tc>
          <w:tcPr>
            <w:tcW w:w="660" w:type="dxa"/>
          </w:tcPr>
          <w:p w14:paraId="1E62914D" w14:textId="77777777" w:rsidR="00CC25B5" w:rsidRPr="00920309" w:rsidRDefault="00CC25B5" w:rsidP="00ED32CD">
            <w:pPr>
              <w:pStyle w:val="BodyText2"/>
            </w:pPr>
            <w:r w:rsidRPr="00920309">
              <w:t>3</w:t>
            </w:r>
          </w:p>
        </w:tc>
        <w:tc>
          <w:tcPr>
            <w:tcW w:w="659" w:type="dxa"/>
          </w:tcPr>
          <w:p w14:paraId="466D013A" w14:textId="77777777" w:rsidR="00CC25B5" w:rsidRPr="00920309" w:rsidRDefault="00CC25B5" w:rsidP="00ED32CD">
            <w:pPr>
              <w:pStyle w:val="BodyText2"/>
            </w:pPr>
            <w:r w:rsidRPr="00920309">
              <w:t>4</w:t>
            </w:r>
          </w:p>
        </w:tc>
        <w:tc>
          <w:tcPr>
            <w:tcW w:w="660" w:type="dxa"/>
          </w:tcPr>
          <w:p w14:paraId="5ED4E822" w14:textId="77777777" w:rsidR="00CC25B5" w:rsidRPr="00920309" w:rsidRDefault="00CC25B5" w:rsidP="00ED32CD">
            <w:pPr>
              <w:pStyle w:val="BodyText2"/>
            </w:pPr>
            <w:r w:rsidRPr="00920309">
              <w:t>5</w:t>
            </w:r>
          </w:p>
        </w:tc>
      </w:tr>
      <w:tr w:rsidR="00CC25B5" w:rsidRPr="00920309" w14:paraId="181C4F06" w14:textId="77777777" w:rsidTr="002369E3">
        <w:trPr>
          <w:cantSplit/>
          <w:trHeight w:val="266"/>
        </w:trPr>
        <w:tc>
          <w:tcPr>
            <w:tcW w:w="447" w:type="dxa"/>
            <w:vMerge/>
            <w:textDirection w:val="btLr"/>
          </w:tcPr>
          <w:p w14:paraId="58DFE57C" w14:textId="77777777" w:rsidR="00CC25B5" w:rsidRPr="00920309" w:rsidRDefault="00CC25B5" w:rsidP="00ED32CD">
            <w:pPr>
              <w:pStyle w:val="BodyText2"/>
              <w:ind w:left="113" w:right="113"/>
            </w:pPr>
          </w:p>
        </w:tc>
        <w:tc>
          <w:tcPr>
            <w:tcW w:w="692" w:type="dxa"/>
          </w:tcPr>
          <w:p w14:paraId="2073BBC3" w14:textId="77777777" w:rsidR="00CC25B5" w:rsidRPr="00920309" w:rsidRDefault="00CC25B5" w:rsidP="00ED32CD">
            <w:pPr>
              <w:pStyle w:val="BodyText2"/>
            </w:pPr>
            <w:r w:rsidRPr="00920309">
              <w:t>1</w:t>
            </w:r>
          </w:p>
        </w:tc>
        <w:tc>
          <w:tcPr>
            <w:tcW w:w="659" w:type="dxa"/>
            <w:shd w:val="clear" w:color="auto" w:fill="00B050"/>
          </w:tcPr>
          <w:p w14:paraId="12F6E908" w14:textId="77777777" w:rsidR="00CC25B5" w:rsidRPr="00920309" w:rsidRDefault="00CC25B5" w:rsidP="00ED32CD">
            <w:pPr>
              <w:pStyle w:val="BodyText2"/>
            </w:pPr>
            <w:r w:rsidRPr="00920309">
              <w:t>1</w:t>
            </w:r>
          </w:p>
        </w:tc>
        <w:tc>
          <w:tcPr>
            <w:tcW w:w="659" w:type="dxa"/>
            <w:shd w:val="clear" w:color="auto" w:fill="00B050"/>
          </w:tcPr>
          <w:p w14:paraId="25568C6F" w14:textId="77777777" w:rsidR="00CC25B5" w:rsidRPr="00920309" w:rsidRDefault="00CC25B5" w:rsidP="00ED32CD">
            <w:pPr>
              <w:pStyle w:val="BodyText2"/>
            </w:pPr>
            <w:r w:rsidRPr="00920309">
              <w:t>2</w:t>
            </w:r>
          </w:p>
        </w:tc>
        <w:tc>
          <w:tcPr>
            <w:tcW w:w="660" w:type="dxa"/>
            <w:shd w:val="clear" w:color="auto" w:fill="00B050"/>
          </w:tcPr>
          <w:p w14:paraId="04563E78" w14:textId="77777777" w:rsidR="00CC25B5" w:rsidRPr="00920309" w:rsidRDefault="00CC25B5" w:rsidP="00ED32CD">
            <w:pPr>
              <w:pStyle w:val="BodyText2"/>
            </w:pPr>
            <w:r w:rsidRPr="00920309">
              <w:t>3</w:t>
            </w:r>
          </w:p>
        </w:tc>
        <w:tc>
          <w:tcPr>
            <w:tcW w:w="659" w:type="dxa"/>
            <w:shd w:val="clear" w:color="auto" w:fill="00B050"/>
          </w:tcPr>
          <w:p w14:paraId="7BA72149" w14:textId="77777777" w:rsidR="00CC25B5" w:rsidRPr="00920309" w:rsidRDefault="00CC25B5" w:rsidP="00ED32CD">
            <w:pPr>
              <w:pStyle w:val="BodyText2"/>
            </w:pPr>
            <w:r w:rsidRPr="00920309">
              <w:t>4</w:t>
            </w:r>
          </w:p>
        </w:tc>
        <w:tc>
          <w:tcPr>
            <w:tcW w:w="660" w:type="dxa"/>
            <w:shd w:val="clear" w:color="auto" w:fill="00B050"/>
          </w:tcPr>
          <w:p w14:paraId="55B4E75A" w14:textId="77777777" w:rsidR="00CC25B5" w:rsidRPr="00920309" w:rsidRDefault="00CC25B5" w:rsidP="00ED32CD">
            <w:pPr>
              <w:pStyle w:val="BodyText2"/>
            </w:pPr>
            <w:r w:rsidRPr="00920309">
              <w:t>5</w:t>
            </w:r>
          </w:p>
        </w:tc>
      </w:tr>
      <w:tr w:rsidR="00CC25B5" w:rsidRPr="00920309" w14:paraId="700E2731" w14:textId="77777777" w:rsidTr="002369E3">
        <w:trPr>
          <w:cantSplit/>
          <w:trHeight w:val="266"/>
        </w:trPr>
        <w:tc>
          <w:tcPr>
            <w:tcW w:w="447" w:type="dxa"/>
            <w:vMerge/>
          </w:tcPr>
          <w:p w14:paraId="11105F2A" w14:textId="77777777" w:rsidR="00CC25B5" w:rsidRPr="00920309" w:rsidRDefault="00CC25B5" w:rsidP="00ED32CD">
            <w:pPr>
              <w:pStyle w:val="BodyText2"/>
              <w:jc w:val="both"/>
            </w:pPr>
          </w:p>
        </w:tc>
        <w:tc>
          <w:tcPr>
            <w:tcW w:w="692" w:type="dxa"/>
          </w:tcPr>
          <w:p w14:paraId="3C1F9AC3" w14:textId="77777777" w:rsidR="00CC25B5" w:rsidRPr="00920309" w:rsidRDefault="00CC25B5" w:rsidP="00ED32CD">
            <w:pPr>
              <w:pStyle w:val="BodyText2"/>
            </w:pPr>
            <w:r w:rsidRPr="00920309">
              <w:t>2</w:t>
            </w:r>
          </w:p>
        </w:tc>
        <w:tc>
          <w:tcPr>
            <w:tcW w:w="659" w:type="dxa"/>
            <w:shd w:val="clear" w:color="auto" w:fill="00B050"/>
          </w:tcPr>
          <w:p w14:paraId="2380EFC7" w14:textId="77777777" w:rsidR="00CC25B5" w:rsidRPr="00920309" w:rsidRDefault="00CC25B5" w:rsidP="00ED32CD">
            <w:pPr>
              <w:pStyle w:val="BodyText2"/>
            </w:pPr>
            <w:r w:rsidRPr="00920309">
              <w:t>2</w:t>
            </w:r>
          </w:p>
        </w:tc>
        <w:tc>
          <w:tcPr>
            <w:tcW w:w="659" w:type="dxa"/>
            <w:shd w:val="clear" w:color="auto" w:fill="00B050"/>
          </w:tcPr>
          <w:p w14:paraId="247B5CF7" w14:textId="77777777" w:rsidR="00CC25B5" w:rsidRPr="00920309" w:rsidRDefault="00CC25B5" w:rsidP="00ED32CD">
            <w:pPr>
              <w:pStyle w:val="BodyText2"/>
            </w:pPr>
            <w:r w:rsidRPr="00920309">
              <w:t>4</w:t>
            </w:r>
          </w:p>
        </w:tc>
        <w:tc>
          <w:tcPr>
            <w:tcW w:w="660" w:type="dxa"/>
            <w:shd w:val="clear" w:color="auto" w:fill="00B050"/>
          </w:tcPr>
          <w:p w14:paraId="2BAA47FF" w14:textId="77777777" w:rsidR="00CC25B5" w:rsidRPr="00920309" w:rsidRDefault="00CC25B5" w:rsidP="00ED32CD">
            <w:pPr>
              <w:pStyle w:val="BodyText2"/>
            </w:pPr>
            <w:r w:rsidRPr="00920309">
              <w:t>6</w:t>
            </w:r>
          </w:p>
        </w:tc>
        <w:tc>
          <w:tcPr>
            <w:tcW w:w="659" w:type="dxa"/>
            <w:shd w:val="clear" w:color="auto" w:fill="E36C0A" w:themeFill="accent6" w:themeFillShade="BF"/>
          </w:tcPr>
          <w:p w14:paraId="3E98DA6D" w14:textId="77777777" w:rsidR="00CC25B5" w:rsidRPr="00920309" w:rsidRDefault="00CC25B5" w:rsidP="00ED32CD">
            <w:pPr>
              <w:pStyle w:val="BodyText2"/>
            </w:pPr>
            <w:r w:rsidRPr="00920309">
              <w:t>8</w:t>
            </w:r>
          </w:p>
        </w:tc>
        <w:tc>
          <w:tcPr>
            <w:tcW w:w="660" w:type="dxa"/>
            <w:shd w:val="clear" w:color="auto" w:fill="E36C0A" w:themeFill="accent6" w:themeFillShade="BF"/>
          </w:tcPr>
          <w:p w14:paraId="09006ACE" w14:textId="77777777" w:rsidR="00CC25B5" w:rsidRPr="00920309" w:rsidRDefault="00CC25B5" w:rsidP="00ED32CD">
            <w:pPr>
              <w:pStyle w:val="BodyText2"/>
            </w:pPr>
            <w:r w:rsidRPr="00920309">
              <w:t>10</w:t>
            </w:r>
          </w:p>
        </w:tc>
      </w:tr>
      <w:tr w:rsidR="00CC25B5" w:rsidRPr="00920309" w14:paraId="06B66ED7" w14:textId="77777777" w:rsidTr="002369E3">
        <w:trPr>
          <w:cantSplit/>
          <w:trHeight w:val="266"/>
        </w:trPr>
        <w:tc>
          <w:tcPr>
            <w:tcW w:w="447" w:type="dxa"/>
            <w:vMerge/>
          </w:tcPr>
          <w:p w14:paraId="6A027224" w14:textId="77777777" w:rsidR="00CC25B5" w:rsidRPr="00920309" w:rsidRDefault="00CC25B5" w:rsidP="00ED32CD">
            <w:pPr>
              <w:pStyle w:val="BodyText2"/>
              <w:jc w:val="both"/>
            </w:pPr>
          </w:p>
        </w:tc>
        <w:tc>
          <w:tcPr>
            <w:tcW w:w="692" w:type="dxa"/>
          </w:tcPr>
          <w:p w14:paraId="7AE1CC48" w14:textId="77777777" w:rsidR="00CC25B5" w:rsidRPr="00920309" w:rsidRDefault="00CC25B5" w:rsidP="00ED32CD">
            <w:pPr>
              <w:pStyle w:val="BodyText2"/>
            </w:pPr>
            <w:r w:rsidRPr="00920309">
              <w:t>3</w:t>
            </w:r>
          </w:p>
        </w:tc>
        <w:tc>
          <w:tcPr>
            <w:tcW w:w="659" w:type="dxa"/>
            <w:shd w:val="clear" w:color="auto" w:fill="00B050"/>
          </w:tcPr>
          <w:p w14:paraId="4366D400" w14:textId="77777777" w:rsidR="00CC25B5" w:rsidRPr="00920309" w:rsidRDefault="00CC25B5" w:rsidP="00ED32CD">
            <w:pPr>
              <w:pStyle w:val="BodyText2"/>
            </w:pPr>
            <w:r w:rsidRPr="00920309">
              <w:t>3</w:t>
            </w:r>
          </w:p>
        </w:tc>
        <w:tc>
          <w:tcPr>
            <w:tcW w:w="659" w:type="dxa"/>
            <w:shd w:val="clear" w:color="auto" w:fill="00B050"/>
          </w:tcPr>
          <w:p w14:paraId="5ADFE8ED" w14:textId="77777777" w:rsidR="00CC25B5" w:rsidRPr="00920309" w:rsidRDefault="00CC25B5" w:rsidP="00ED32CD">
            <w:pPr>
              <w:pStyle w:val="BodyText2"/>
            </w:pPr>
            <w:r w:rsidRPr="00920309">
              <w:t>6</w:t>
            </w:r>
          </w:p>
        </w:tc>
        <w:tc>
          <w:tcPr>
            <w:tcW w:w="660" w:type="dxa"/>
            <w:shd w:val="clear" w:color="auto" w:fill="E36C0A" w:themeFill="accent6" w:themeFillShade="BF"/>
          </w:tcPr>
          <w:p w14:paraId="5AF7BFA3" w14:textId="77777777" w:rsidR="00CC25B5" w:rsidRPr="00920309" w:rsidRDefault="00CC25B5" w:rsidP="00ED32CD">
            <w:pPr>
              <w:pStyle w:val="BodyText2"/>
            </w:pPr>
            <w:r w:rsidRPr="00920309">
              <w:t>9</w:t>
            </w:r>
          </w:p>
        </w:tc>
        <w:tc>
          <w:tcPr>
            <w:tcW w:w="659" w:type="dxa"/>
            <w:shd w:val="clear" w:color="auto" w:fill="E36C0A" w:themeFill="accent6" w:themeFillShade="BF"/>
          </w:tcPr>
          <w:p w14:paraId="6D7FAD80" w14:textId="77777777" w:rsidR="00CC25B5" w:rsidRPr="00920309" w:rsidRDefault="00CC25B5" w:rsidP="00ED32CD">
            <w:pPr>
              <w:pStyle w:val="BodyText2"/>
            </w:pPr>
            <w:r w:rsidRPr="00920309">
              <w:t>12</w:t>
            </w:r>
          </w:p>
        </w:tc>
        <w:tc>
          <w:tcPr>
            <w:tcW w:w="660" w:type="dxa"/>
            <w:shd w:val="clear" w:color="auto" w:fill="FF0000"/>
          </w:tcPr>
          <w:p w14:paraId="562FE6CF" w14:textId="77777777" w:rsidR="00CC25B5" w:rsidRPr="00920309" w:rsidRDefault="00CC25B5" w:rsidP="00ED32CD">
            <w:pPr>
              <w:pStyle w:val="BodyText2"/>
            </w:pPr>
            <w:r w:rsidRPr="00920309">
              <w:t>15</w:t>
            </w:r>
          </w:p>
        </w:tc>
      </w:tr>
      <w:tr w:rsidR="00CC25B5" w:rsidRPr="00920309" w14:paraId="79F832BB" w14:textId="77777777" w:rsidTr="002369E3">
        <w:trPr>
          <w:cantSplit/>
          <w:trHeight w:val="266"/>
        </w:trPr>
        <w:tc>
          <w:tcPr>
            <w:tcW w:w="447" w:type="dxa"/>
            <w:vMerge/>
          </w:tcPr>
          <w:p w14:paraId="1FC6E734" w14:textId="77777777" w:rsidR="00CC25B5" w:rsidRPr="00920309" w:rsidRDefault="00CC25B5" w:rsidP="00ED32CD">
            <w:pPr>
              <w:pStyle w:val="BodyText2"/>
              <w:jc w:val="both"/>
            </w:pPr>
          </w:p>
        </w:tc>
        <w:tc>
          <w:tcPr>
            <w:tcW w:w="692" w:type="dxa"/>
          </w:tcPr>
          <w:p w14:paraId="2CA0791A" w14:textId="77777777" w:rsidR="00CC25B5" w:rsidRPr="00920309" w:rsidRDefault="00CC25B5" w:rsidP="00ED32CD">
            <w:pPr>
              <w:pStyle w:val="BodyText2"/>
            </w:pPr>
            <w:r w:rsidRPr="00920309">
              <w:t>4</w:t>
            </w:r>
          </w:p>
        </w:tc>
        <w:tc>
          <w:tcPr>
            <w:tcW w:w="659" w:type="dxa"/>
            <w:shd w:val="clear" w:color="auto" w:fill="00B050"/>
          </w:tcPr>
          <w:p w14:paraId="2352B1AA" w14:textId="77777777" w:rsidR="00CC25B5" w:rsidRPr="00920309" w:rsidRDefault="00CC25B5" w:rsidP="00ED32CD">
            <w:pPr>
              <w:pStyle w:val="BodyText2"/>
            </w:pPr>
            <w:r w:rsidRPr="00920309">
              <w:t>4</w:t>
            </w:r>
          </w:p>
        </w:tc>
        <w:tc>
          <w:tcPr>
            <w:tcW w:w="659" w:type="dxa"/>
            <w:shd w:val="clear" w:color="auto" w:fill="E36C0A" w:themeFill="accent6" w:themeFillShade="BF"/>
          </w:tcPr>
          <w:p w14:paraId="36768AB8" w14:textId="77777777" w:rsidR="00CC25B5" w:rsidRPr="00920309" w:rsidRDefault="00CC25B5" w:rsidP="00ED32CD">
            <w:pPr>
              <w:pStyle w:val="BodyText2"/>
            </w:pPr>
            <w:r w:rsidRPr="00920309">
              <w:t>8</w:t>
            </w:r>
          </w:p>
        </w:tc>
        <w:tc>
          <w:tcPr>
            <w:tcW w:w="660" w:type="dxa"/>
            <w:shd w:val="clear" w:color="auto" w:fill="E36C0A" w:themeFill="accent6" w:themeFillShade="BF"/>
          </w:tcPr>
          <w:p w14:paraId="7CB48503" w14:textId="77777777" w:rsidR="00CC25B5" w:rsidRPr="00920309" w:rsidRDefault="00CC25B5" w:rsidP="00ED32CD">
            <w:pPr>
              <w:pStyle w:val="BodyText2"/>
            </w:pPr>
            <w:r w:rsidRPr="00920309">
              <w:t>12</w:t>
            </w:r>
          </w:p>
        </w:tc>
        <w:tc>
          <w:tcPr>
            <w:tcW w:w="659" w:type="dxa"/>
            <w:shd w:val="clear" w:color="auto" w:fill="FF0000"/>
          </w:tcPr>
          <w:p w14:paraId="345FD1EE" w14:textId="77777777" w:rsidR="00CC25B5" w:rsidRPr="00920309" w:rsidRDefault="00CC25B5" w:rsidP="00ED32CD">
            <w:pPr>
              <w:pStyle w:val="BodyText2"/>
            </w:pPr>
            <w:r w:rsidRPr="00920309">
              <w:t>16</w:t>
            </w:r>
          </w:p>
        </w:tc>
        <w:tc>
          <w:tcPr>
            <w:tcW w:w="660" w:type="dxa"/>
            <w:shd w:val="clear" w:color="auto" w:fill="FF0000"/>
          </w:tcPr>
          <w:p w14:paraId="5B056B74" w14:textId="77777777" w:rsidR="00CC25B5" w:rsidRPr="00920309" w:rsidRDefault="00CC25B5" w:rsidP="00ED32CD">
            <w:pPr>
              <w:pStyle w:val="BodyText2"/>
            </w:pPr>
            <w:r w:rsidRPr="00920309">
              <w:t>20</w:t>
            </w:r>
          </w:p>
        </w:tc>
      </w:tr>
      <w:tr w:rsidR="00CC25B5" w:rsidRPr="00920309" w14:paraId="6637D258" w14:textId="77777777" w:rsidTr="002369E3">
        <w:trPr>
          <w:cantSplit/>
          <w:trHeight w:val="266"/>
        </w:trPr>
        <w:tc>
          <w:tcPr>
            <w:tcW w:w="447" w:type="dxa"/>
            <w:vMerge/>
          </w:tcPr>
          <w:p w14:paraId="41BF17DC" w14:textId="77777777" w:rsidR="00CC25B5" w:rsidRPr="00920309" w:rsidRDefault="00CC25B5" w:rsidP="00ED32CD">
            <w:pPr>
              <w:pStyle w:val="BodyText2"/>
              <w:jc w:val="both"/>
            </w:pPr>
          </w:p>
        </w:tc>
        <w:tc>
          <w:tcPr>
            <w:tcW w:w="692" w:type="dxa"/>
          </w:tcPr>
          <w:p w14:paraId="5B032A5D" w14:textId="77777777" w:rsidR="00CC25B5" w:rsidRPr="00920309" w:rsidRDefault="00CC25B5" w:rsidP="00ED32CD">
            <w:pPr>
              <w:pStyle w:val="BodyText2"/>
            </w:pPr>
            <w:r w:rsidRPr="00920309">
              <w:t>5</w:t>
            </w:r>
          </w:p>
        </w:tc>
        <w:tc>
          <w:tcPr>
            <w:tcW w:w="659" w:type="dxa"/>
            <w:shd w:val="clear" w:color="auto" w:fill="00B050"/>
          </w:tcPr>
          <w:p w14:paraId="237D0AA7" w14:textId="77777777" w:rsidR="00CC25B5" w:rsidRPr="00920309" w:rsidRDefault="00CC25B5" w:rsidP="00ED32CD">
            <w:pPr>
              <w:pStyle w:val="BodyText2"/>
            </w:pPr>
            <w:r w:rsidRPr="00920309">
              <w:t>5</w:t>
            </w:r>
          </w:p>
        </w:tc>
        <w:tc>
          <w:tcPr>
            <w:tcW w:w="659" w:type="dxa"/>
            <w:shd w:val="clear" w:color="auto" w:fill="E36C0A" w:themeFill="accent6" w:themeFillShade="BF"/>
          </w:tcPr>
          <w:p w14:paraId="0F0E6C7B" w14:textId="77777777" w:rsidR="00CC25B5" w:rsidRPr="00920309" w:rsidRDefault="00CC25B5" w:rsidP="00ED32CD">
            <w:pPr>
              <w:pStyle w:val="BodyText2"/>
            </w:pPr>
            <w:r w:rsidRPr="00920309">
              <w:t>10</w:t>
            </w:r>
          </w:p>
        </w:tc>
        <w:tc>
          <w:tcPr>
            <w:tcW w:w="660" w:type="dxa"/>
            <w:shd w:val="clear" w:color="auto" w:fill="FF0000"/>
          </w:tcPr>
          <w:p w14:paraId="37646CEC" w14:textId="77777777" w:rsidR="00CC25B5" w:rsidRPr="00920309" w:rsidRDefault="00CC25B5" w:rsidP="00ED32CD">
            <w:pPr>
              <w:pStyle w:val="BodyText2"/>
            </w:pPr>
            <w:r w:rsidRPr="00920309">
              <w:t>15</w:t>
            </w:r>
          </w:p>
        </w:tc>
        <w:tc>
          <w:tcPr>
            <w:tcW w:w="659" w:type="dxa"/>
            <w:shd w:val="clear" w:color="auto" w:fill="FF0000"/>
          </w:tcPr>
          <w:p w14:paraId="22B36317" w14:textId="77777777" w:rsidR="00CC25B5" w:rsidRPr="00920309" w:rsidRDefault="00CC25B5" w:rsidP="00ED32CD">
            <w:pPr>
              <w:pStyle w:val="BodyText2"/>
            </w:pPr>
            <w:r w:rsidRPr="00920309">
              <w:t>20</w:t>
            </w:r>
          </w:p>
        </w:tc>
        <w:tc>
          <w:tcPr>
            <w:tcW w:w="660" w:type="dxa"/>
            <w:shd w:val="clear" w:color="auto" w:fill="FF0000"/>
          </w:tcPr>
          <w:p w14:paraId="56ED3C86" w14:textId="77777777" w:rsidR="00CC25B5" w:rsidRPr="00920309" w:rsidRDefault="00CC25B5" w:rsidP="00ED32CD">
            <w:pPr>
              <w:pStyle w:val="BodyText2"/>
            </w:pPr>
            <w:r w:rsidRPr="00920309">
              <w:t>25</w:t>
            </w:r>
          </w:p>
        </w:tc>
      </w:tr>
    </w:tbl>
    <w:p w14:paraId="068D68DE" w14:textId="77777777" w:rsidR="00CC25B5" w:rsidRPr="00920309" w:rsidRDefault="00CC25B5" w:rsidP="00CC25B5">
      <w:pPr>
        <w:rPr>
          <w:rFonts w:ascii="Arial Narrow" w:hAnsi="Arial Narrow"/>
        </w:rPr>
      </w:pPr>
    </w:p>
    <w:p w14:paraId="1406DDF1" w14:textId="77777777" w:rsidR="00CC25B5" w:rsidRDefault="00CC25B5" w:rsidP="002C0776"/>
    <w:sectPr w:rsidR="00CC25B5" w:rsidSect="00974F0B">
      <w:headerReference w:type="default" r:id="rId9"/>
      <w:footerReference w:type="default" r:id="rId10"/>
      <w:pgSz w:w="15840" w:h="12240" w:orient="landscape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EDC7B" w14:textId="77777777" w:rsidR="00A44040" w:rsidRDefault="00A44040">
      <w:r>
        <w:separator/>
      </w:r>
    </w:p>
  </w:endnote>
  <w:endnote w:type="continuationSeparator" w:id="0">
    <w:p w14:paraId="33666099" w14:textId="77777777" w:rsidR="00A44040" w:rsidRDefault="00A4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03AED" w14:textId="77777777" w:rsidR="00974F0B" w:rsidRDefault="00993176">
    <w:pPr>
      <w:pStyle w:val="Footer"/>
      <w:pBdr>
        <w:top w:val="single" w:sz="4" w:space="1" w:color="auto"/>
      </w:pBdr>
      <w:ind w:right="360"/>
      <w:jc w:val="both"/>
    </w:pPr>
    <w:r>
      <w:rPr>
        <w:rFonts w:ascii="Arial Narrow" w:hAnsi="Arial Narrow" w:cs="Arial Narrow"/>
        <w:color w:val="808080"/>
        <w:sz w:val="14"/>
        <w:szCs w:val="14"/>
      </w:rPr>
      <w:tab/>
    </w:r>
    <w:r>
      <w:rPr>
        <w:rFonts w:ascii="Arial Narrow" w:hAnsi="Arial Narrow" w:cs="Arial Narrow"/>
        <w:color w:val="808080"/>
        <w:sz w:val="14"/>
        <w:szCs w:val="14"/>
      </w:rPr>
      <w:tab/>
    </w:r>
    <w:r>
      <w:rPr>
        <w:rFonts w:ascii="Arial Narrow" w:hAnsi="Arial Narrow" w:cs="Arial Narrow"/>
        <w:color w:val="808080"/>
        <w:sz w:val="14"/>
        <w:szCs w:val="14"/>
      </w:rPr>
      <w:tab/>
    </w:r>
    <w:r>
      <w:rPr>
        <w:rFonts w:ascii="Arial Narrow" w:hAnsi="Arial Narrow" w:cs="Arial Narrow"/>
        <w:color w:val="808080"/>
        <w:sz w:val="14"/>
        <w:szCs w:val="14"/>
      </w:rPr>
      <w:tab/>
    </w:r>
    <w:r>
      <w:rPr>
        <w:rFonts w:ascii="Arial Narrow" w:hAnsi="Arial Narrow" w:cs="Arial Narrow"/>
        <w:color w:val="808080"/>
        <w:sz w:val="14"/>
        <w:szCs w:val="14"/>
      </w:rPr>
      <w:tab/>
    </w:r>
    <w:r>
      <w:rPr>
        <w:rFonts w:ascii="Arial Narrow" w:hAnsi="Arial Narrow" w:cs="Arial Narrow"/>
        <w:color w:val="808080"/>
        <w:sz w:val="14"/>
        <w:szCs w:val="14"/>
      </w:rPr>
      <w:tab/>
    </w:r>
    <w:r>
      <w:rPr>
        <w:rFonts w:ascii="Arial Narrow" w:hAnsi="Arial Narrow" w:cs="Arial Narrow"/>
        <w:color w:val="808080"/>
        <w:sz w:val="14"/>
        <w:szCs w:val="14"/>
      </w:rPr>
      <w:tab/>
    </w:r>
    <w:r>
      <w:rPr>
        <w:rStyle w:val="PageNumber"/>
        <w:rFonts w:ascii="Arial Narrow" w:hAnsi="Arial Narrow" w:cs="Arial Narrow"/>
        <w:color w:val="808080"/>
        <w:sz w:val="14"/>
        <w:szCs w:val="14"/>
      </w:rPr>
      <w:t xml:space="preserve">Page </w:t>
    </w:r>
    <w:r w:rsidR="0043464F">
      <w:rPr>
        <w:rStyle w:val="PageNumber"/>
        <w:rFonts w:ascii="Arial Narrow" w:hAnsi="Arial Narrow" w:cs="Arial Narrow"/>
        <w:color w:val="808080"/>
        <w:sz w:val="14"/>
        <w:szCs w:val="14"/>
      </w:rPr>
      <w:fldChar w:fldCharType="begin"/>
    </w:r>
    <w:r>
      <w:rPr>
        <w:rStyle w:val="PageNumber"/>
        <w:rFonts w:ascii="Arial Narrow" w:hAnsi="Arial Narrow" w:cs="Arial Narrow"/>
        <w:color w:val="808080"/>
        <w:sz w:val="14"/>
        <w:szCs w:val="14"/>
      </w:rPr>
      <w:instrText xml:space="preserve"> PAGE </w:instrText>
    </w:r>
    <w:r w:rsidR="0043464F">
      <w:rPr>
        <w:rStyle w:val="PageNumber"/>
        <w:rFonts w:ascii="Arial Narrow" w:hAnsi="Arial Narrow" w:cs="Arial Narrow"/>
        <w:color w:val="808080"/>
        <w:sz w:val="14"/>
        <w:szCs w:val="14"/>
      </w:rPr>
      <w:fldChar w:fldCharType="separate"/>
    </w:r>
    <w:r w:rsidR="00DA0945">
      <w:rPr>
        <w:rStyle w:val="PageNumber"/>
        <w:rFonts w:ascii="Arial Narrow" w:hAnsi="Arial Narrow" w:cs="Arial Narrow"/>
        <w:noProof/>
        <w:color w:val="808080"/>
        <w:sz w:val="14"/>
        <w:szCs w:val="14"/>
      </w:rPr>
      <w:t>1</w:t>
    </w:r>
    <w:r w:rsidR="0043464F">
      <w:rPr>
        <w:rStyle w:val="PageNumber"/>
        <w:rFonts w:ascii="Arial Narrow" w:hAnsi="Arial Narrow" w:cs="Arial Narrow"/>
        <w:color w:val="808080"/>
        <w:sz w:val="14"/>
        <w:szCs w:val="14"/>
      </w:rPr>
      <w:fldChar w:fldCharType="end"/>
    </w:r>
    <w:r>
      <w:rPr>
        <w:rStyle w:val="PageNumber"/>
        <w:rFonts w:ascii="Arial Narrow" w:hAnsi="Arial Narrow" w:cs="Arial Narrow"/>
        <w:color w:val="808080"/>
        <w:sz w:val="14"/>
        <w:szCs w:val="14"/>
      </w:rPr>
      <w:t xml:space="preserve"> of </w:t>
    </w:r>
    <w:r w:rsidR="0043464F">
      <w:rPr>
        <w:rStyle w:val="PageNumber"/>
        <w:rFonts w:ascii="Arial Narrow" w:hAnsi="Arial Narrow" w:cs="Arial Narrow"/>
        <w:color w:val="808080"/>
        <w:sz w:val="14"/>
        <w:szCs w:val="14"/>
      </w:rPr>
      <w:fldChar w:fldCharType="begin"/>
    </w:r>
    <w:r>
      <w:rPr>
        <w:rStyle w:val="PageNumber"/>
        <w:rFonts w:ascii="Arial Narrow" w:hAnsi="Arial Narrow" w:cs="Arial Narrow"/>
        <w:color w:val="808080"/>
        <w:sz w:val="14"/>
        <w:szCs w:val="14"/>
      </w:rPr>
      <w:instrText xml:space="preserve"> NUMPAGES </w:instrText>
    </w:r>
    <w:r w:rsidR="0043464F">
      <w:rPr>
        <w:rStyle w:val="PageNumber"/>
        <w:rFonts w:ascii="Arial Narrow" w:hAnsi="Arial Narrow" w:cs="Arial Narrow"/>
        <w:color w:val="808080"/>
        <w:sz w:val="14"/>
        <w:szCs w:val="14"/>
      </w:rPr>
      <w:fldChar w:fldCharType="separate"/>
    </w:r>
    <w:r w:rsidR="00DA0945">
      <w:rPr>
        <w:rStyle w:val="PageNumber"/>
        <w:rFonts w:ascii="Arial Narrow" w:hAnsi="Arial Narrow" w:cs="Arial Narrow"/>
        <w:noProof/>
        <w:color w:val="808080"/>
        <w:sz w:val="14"/>
        <w:szCs w:val="14"/>
      </w:rPr>
      <w:t>2</w:t>
    </w:r>
    <w:r w:rsidR="0043464F">
      <w:rPr>
        <w:rStyle w:val="PageNumber"/>
        <w:rFonts w:ascii="Arial Narrow" w:hAnsi="Arial Narrow" w:cs="Arial Narrow"/>
        <w:color w:val="8080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F7F30" w14:textId="77777777" w:rsidR="00A44040" w:rsidRDefault="00A44040">
      <w:r>
        <w:separator/>
      </w:r>
    </w:p>
  </w:footnote>
  <w:footnote w:type="continuationSeparator" w:id="0">
    <w:p w14:paraId="28C091F3" w14:textId="77777777" w:rsidR="00A44040" w:rsidRDefault="00A44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14D17" w14:textId="57FFB94C" w:rsidR="00974F0B" w:rsidRDefault="00993176">
    <w:pPr>
      <w:pStyle w:val="Heading1"/>
      <w:jc w:val="center"/>
      <w:rPr>
        <w:sz w:val="28"/>
        <w:szCs w:val="28"/>
      </w:rPr>
    </w:pPr>
    <w:r>
      <w:rPr>
        <w:sz w:val="28"/>
        <w:szCs w:val="28"/>
      </w:rPr>
      <w:t>RISK ASSESSMENT –</w:t>
    </w:r>
    <w:r w:rsidR="00EE41A6">
      <w:rPr>
        <w:sz w:val="28"/>
        <w:szCs w:val="28"/>
      </w:rPr>
      <w:t xml:space="preserve"> Alcohol and non-Alcohol based </w:t>
    </w:r>
    <w:r w:rsidR="00A57D45">
      <w:rPr>
        <w:sz w:val="28"/>
        <w:szCs w:val="28"/>
      </w:rPr>
      <w:t xml:space="preserve">Hand Sanitizers and </w:t>
    </w:r>
    <w:r w:rsidR="00EE41A6">
      <w:rPr>
        <w:sz w:val="28"/>
        <w:szCs w:val="28"/>
      </w:rPr>
      <w:t xml:space="preserve">Frequent Hand Washing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10D4C"/>
    <w:multiLevelType w:val="hybridMultilevel"/>
    <w:tmpl w:val="B172E7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D40F5C"/>
    <w:multiLevelType w:val="hybridMultilevel"/>
    <w:tmpl w:val="F9D05BAE"/>
    <w:lvl w:ilvl="0" w:tplc="04090001">
      <w:start w:val="1"/>
      <w:numFmt w:val="bullet"/>
      <w:lvlText w:val=""/>
      <w:lvlJc w:val="left"/>
      <w:pPr>
        <w:tabs>
          <w:tab w:val="num" w:pos="-684"/>
        </w:tabs>
        <w:ind w:left="-68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"/>
        </w:tabs>
        <w:ind w:left="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56"/>
        </w:tabs>
        <w:ind w:left="75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926675"/>
    <w:multiLevelType w:val="hybridMultilevel"/>
    <w:tmpl w:val="E7A06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055343"/>
    <w:multiLevelType w:val="hybridMultilevel"/>
    <w:tmpl w:val="85BC1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5758A7"/>
    <w:multiLevelType w:val="hybridMultilevel"/>
    <w:tmpl w:val="86DA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201170"/>
    <w:multiLevelType w:val="hybridMultilevel"/>
    <w:tmpl w:val="321E0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DA139D"/>
    <w:multiLevelType w:val="hybridMultilevel"/>
    <w:tmpl w:val="475C0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BB1984"/>
    <w:multiLevelType w:val="hybridMultilevel"/>
    <w:tmpl w:val="3D6E1A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2A401D"/>
    <w:multiLevelType w:val="hybridMultilevel"/>
    <w:tmpl w:val="A93AA9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FE6AF2"/>
    <w:multiLevelType w:val="hybridMultilevel"/>
    <w:tmpl w:val="36408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131B6A"/>
    <w:multiLevelType w:val="hybridMultilevel"/>
    <w:tmpl w:val="C2D4E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74171D"/>
    <w:multiLevelType w:val="hybridMultilevel"/>
    <w:tmpl w:val="E4CAD0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E680DC9"/>
    <w:multiLevelType w:val="hybridMultilevel"/>
    <w:tmpl w:val="F6C0AB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E23472"/>
    <w:multiLevelType w:val="hybridMultilevel"/>
    <w:tmpl w:val="87C889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535F88"/>
    <w:multiLevelType w:val="hybridMultilevel"/>
    <w:tmpl w:val="5E5444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3A47E6"/>
    <w:multiLevelType w:val="hybridMultilevel"/>
    <w:tmpl w:val="1A00C7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6CE191A"/>
    <w:multiLevelType w:val="hybridMultilevel"/>
    <w:tmpl w:val="AFEA1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9C12EF4"/>
    <w:multiLevelType w:val="hybridMultilevel"/>
    <w:tmpl w:val="237E0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AD05951"/>
    <w:multiLevelType w:val="multilevel"/>
    <w:tmpl w:val="7BDE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3865F7"/>
    <w:multiLevelType w:val="hybridMultilevel"/>
    <w:tmpl w:val="DE2E3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7"/>
  </w:num>
  <w:num w:numId="5">
    <w:abstractNumId w:val="3"/>
  </w:num>
  <w:num w:numId="6">
    <w:abstractNumId w:val="13"/>
  </w:num>
  <w:num w:numId="7">
    <w:abstractNumId w:val="16"/>
  </w:num>
  <w:num w:numId="8">
    <w:abstractNumId w:val="1"/>
  </w:num>
  <w:num w:numId="9">
    <w:abstractNumId w:val="19"/>
  </w:num>
  <w:num w:numId="10">
    <w:abstractNumId w:val="4"/>
  </w:num>
  <w:num w:numId="11">
    <w:abstractNumId w:val="9"/>
  </w:num>
  <w:num w:numId="12">
    <w:abstractNumId w:val="15"/>
  </w:num>
  <w:num w:numId="13">
    <w:abstractNumId w:val="7"/>
  </w:num>
  <w:num w:numId="14">
    <w:abstractNumId w:val="8"/>
  </w:num>
  <w:num w:numId="15">
    <w:abstractNumId w:val="11"/>
  </w:num>
  <w:num w:numId="16">
    <w:abstractNumId w:val="12"/>
  </w:num>
  <w:num w:numId="17">
    <w:abstractNumId w:val="0"/>
  </w:num>
  <w:num w:numId="18">
    <w:abstractNumId w:val="10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82"/>
    <w:rsid w:val="00026E75"/>
    <w:rsid w:val="00061EB1"/>
    <w:rsid w:val="00083C5A"/>
    <w:rsid w:val="00111B25"/>
    <w:rsid w:val="001261FD"/>
    <w:rsid w:val="00177214"/>
    <w:rsid w:val="001E4A8C"/>
    <w:rsid w:val="002152BF"/>
    <w:rsid w:val="002369E3"/>
    <w:rsid w:val="00291F64"/>
    <w:rsid w:val="002A131D"/>
    <w:rsid w:val="002C0776"/>
    <w:rsid w:val="002F0DB8"/>
    <w:rsid w:val="00315782"/>
    <w:rsid w:val="00342A57"/>
    <w:rsid w:val="003450F6"/>
    <w:rsid w:val="003956DE"/>
    <w:rsid w:val="003A3546"/>
    <w:rsid w:val="003B779C"/>
    <w:rsid w:val="003F0A4C"/>
    <w:rsid w:val="003F4A4C"/>
    <w:rsid w:val="00416889"/>
    <w:rsid w:val="0043464F"/>
    <w:rsid w:val="004626AB"/>
    <w:rsid w:val="004A75EB"/>
    <w:rsid w:val="004E10A5"/>
    <w:rsid w:val="00515C32"/>
    <w:rsid w:val="00536AC5"/>
    <w:rsid w:val="0054592E"/>
    <w:rsid w:val="005A3B47"/>
    <w:rsid w:val="006201E9"/>
    <w:rsid w:val="006250E7"/>
    <w:rsid w:val="006A395B"/>
    <w:rsid w:val="006B26B1"/>
    <w:rsid w:val="006C012C"/>
    <w:rsid w:val="006E49A5"/>
    <w:rsid w:val="007237CA"/>
    <w:rsid w:val="0074419D"/>
    <w:rsid w:val="007706B7"/>
    <w:rsid w:val="00775375"/>
    <w:rsid w:val="00783E01"/>
    <w:rsid w:val="007D5390"/>
    <w:rsid w:val="007E23A7"/>
    <w:rsid w:val="007F4E85"/>
    <w:rsid w:val="008E65F8"/>
    <w:rsid w:val="00974F0B"/>
    <w:rsid w:val="00993176"/>
    <w:rsid w:val="009933A1"/>
    <w:rsid w:val="00A03DDD"/>
    <w:rsid w:val="00A15AD4"/>
    <w:rsid w:val="00A34833"/>
    <w:rsid w:val="00A44040"/>
    <w:rsid w:val="00A53547"/>
    <w:rsid w:val="00A57D45"/>
    <w:rsid w:val="00A73D5B"/>
    <w:rsid w:val="00B007D9"/>
    <w:rsid w:val="00B3032F"/>
    <w:rsid w:val="00C11F2B"/>
    <w:rsid w:val="00C16BC2"/>
    <w:rsid w:val="00C43189"/>
    <w:rsid w:val="00C5668D"/>
    <w:rsid w:val="00C57C23"/>
    <w:rsid w:val="00CC25B5"/>
    <w:rsid w:val="00D015D9"/>
    <w:rsid w:val="00D57280"/>
    <w:rsid w:val="00D87467"/>
    <w:rsid w:val="00D90B7E"/>
    <w:rsid w:val="00DA0945"/>
    <w:rsid w:val="00E22050"/>
    <w:rsid w:val="00E8016F"/>
    <w:rsid w:val="00E81AF0"/>
    <w:rsid w:val="00E91C0B"/>
    <w:rsid w:val="00EE41A6"/>
    <w:rsid w:val="00F04BD8"/>
    <w:rsid w:val="00F04D50"/>
    <w:rsid w:val="00F755E2"/>
    <w:rsid w:val="00F824E0"/>
    <w:rsid w:val="00F96949"/>
    <w:rsid w:val="00FD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56C67A9"/>
  <w15:docId w15:val="{43B8ADDB-03EC-48C7-82F3-691B3035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F0B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4F0B"/>
    <w:pPr>
      <w:keepNext/>
      <w:outlineLvl w:val="0"/>
    </w:pPr>
    <w:rPr>
      <w:rFonts w:ascii="Arial" w:hAnsi="Arial" w:cs="Arial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4F0B"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4F0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3"/>
    </w:pPr>
    <w:rPr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F0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4F0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4F0B"/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4F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4F0B"/>
    <w:rPr>
      <w:rFonts w:ascii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74F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F0B"/>
    <w:rPr>
      <w:rFonts w:ascii="Times New Roman" w:hAnsi="Times New Roman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974F0B"/>
  </w:style>
  <w:style w:type="paragraph" w:styleId="BodyText">
    <w:name w:val="Body Text"/>
    <w:basedOn w:val="Normal"/>
    <w:link w:val="BodyTextChar"/>
    <w:uiPriority w:val="99"/>
    <w:rsid w:val="00974F0B"/>
    <w:rPr>
      <w:rFonts w:ascii="Arial" w:hAnsi="Arial" w:cs="Arial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4F0B"/>
    <w:rPr>
      <w:rFonts w:ascii="Times New Roman" w:hAnsi="Times New Roman"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99"/>
    <w:qFormat/>
    <w:rsid w:val="00974F0B"/>
    <w:rPr>
      <w:i/>
      <w:iCs/>
    </w:rPr>
  </w:style>
  <w:style w:type="paragraph" w:styleId="BodyText2">
    <w:name w:val="Body Text 2"/>
    <w:basedOn w:val="Normal"/>
    <w:link w:val="BodyText2Char"/>
    <w:uiPriority w:val="99"/>
    <w:rsid w:val="00974F0B"/>
    <w:rPr>
      <w:rFonts w:ascii="Arial Narrow" w:hAnsi="Arial Narrow" w:cs="Arial Narro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74F0B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Default">
    <w:name w:val="Default"/>
    <w:uiPriority w:val="99"/>
    <w:rsid w:val="00974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Normal1">
    <w:name w:val="Normal+1"/>
    <w:basedOn w:val="Default"/>
    <w:next w:val="Default"/>
    <w:uiPriority w:val="99"/>
    <w:rsid w:val="00974F0B"/>
    <w:rPr>
      <w:color w:val="auto"/>
    </w:rPr>
  </w:style>
  <w:style w:type="paragraph" w:styleId="Title">
    <w:name w:val="Title"/>
    <w:basedOn w:val="Normal"/>
    <w:link w:val="TitleChar"/>
    <w:uiPriority w:val="99"/>
    <w:qFormat/>
    <w:rsid w:val="00974F0B"/>
    <w:pPr>
      <w:jc w:val="center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74F0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6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C25B5"/>
    <w:pPr>
      <w:spacing w:after="0" w:line="240" w:lineRule="auto"/>
    </w:pPr>
    <w:rPr>
      <w:rFonts w:ascii="Georgia" w:eastAsiaTheme="minorHAnsi" w:hAnsi="Georgia" w:cs="Times New Roman"/>
      <w:sz w:val="24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13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gov.uk/pubns/books/l138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se.gov.uk/pubns/priced/hsg5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681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 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subject/>
  <dc:creator>Ele</dc:creator>
  <cp:keywords/>
  <dc:description/>
  <cp:lastModifiedBy>Katy</cp:lastModifiedBy>
  <cp:revision>39</cp:revision>
  <cp:lastPrinted>2011-09-23T15:21:00Z</cp:lastPrinted>
  <dcterms:created xsi:type="dcterms:W3CDTF">2020-04-09T12:27:00Z</dcterms:created>
  <dcterms:modified xsi:type="dcterms:W3CDTF">2020-05-07T11:55:00Z</dcterms:modified>
</cp:coreProperties>
</file>